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spacing w:line="288" w:lineRule="auto"/>
        <w:jc w:val="center"/>
        <w:rPr>
          <w:rFonts w:ascii="Cambria" w:hAnsi="Cambria" w:cs="Times New Roman"/>
          <w:b/>
          <w:bCs/>
          <w:lang w:val="en-US"/>
        </w:rPr>
      </w:pPr>
      <w:r>
        <w:rPr>
          <w:rFonts w:ascii="Cambria" w:hAnsi="Cambria" w:cs="Times New Roman"/>
          <w:b/>
          <w:bCs/>
        </w:rPr>
        <w:t xml:space="preserve">BAB III </w:t>
      </w:r>
    </w:p>
    <w:p>
      <w:pPr>
        <w:spacing w:after="0"/>
        <w:jc w:val="center"/>
        <w:rPr>
          <w:rFonts w:ascii="Cambria" w:hAnsi="Cambria"/>
          <w:b/>
          <w:sz w:val="24"/>
          <w:szCs w:val="24"/>
        </w:rPr>
      </w:pPr>
      <w:r>
        <w:rPr>
          <w:rFonts w:ascii="Cambria" w:hAnsi="Cambria"/>
          <w:b/>
          <w:sz w:val="24"/>
          <w:szCs w:val="24"/>
        </w:rPr>
        <w:t xml:space="preserve">PERMASALAHAN DAN ISU-ISU STRATEGIS </w:t>
      </w:r>
    </w:p>
    <w:p>
      <w:pPr>
        <w:spacing w:after="0"/>
        <w:jc w:val="center"/>
        <w:rPr>
          <w:rFonts w:ascii="Cambria" w:hAnsi="Cambria"/>
          <w:b/>
          <w:sz w:val="24"/>
          <w:szCs w:val="24"/>
        </w:rPr>
      </w:pPr>
      <w:r>
        <w:rPr>
          <w:rFonts w:ascii="Cambria" w:hAnsi="Cambria"/>
          <w:b/>
          <w:sz w:val="24"/>
          <w:szCs w:val="24"/>
        </w:rPr>
        <w:t xml:space="preserve">BIRO ADMINISTRASI PENGADAAN DAN PENGELOLAAN </w:t>
      </w:r>
    </w:p>
    <w:p>
      <w:pPr>
        <w:spacing w:after="0"/>
        <w:jc w:val="center"/>
        <w:rPr>
          <w:rFonts w:ascii="Cambria" w:hAnsi="Cambria"/>
          <w:b/>
          <w:sz w:val="24"/>
          <w:szCs w:val="24"/>
        </w:rPr>
      </w:pPr>
      <w:r>
        <w:rPr>
          <w:rFonts w:ascii="Cambria" w:hAnsi="Cambria"/>
          <w:b/>
          <w:sz w:val="24"/>
          <w:szCs w:val="24"/>
        </w:rPr>
        <w:t>BARANG MILIK DAERAH</w:t>
      </w:r>
    </w:p>
    <w:p>
      <w:pPr>
        <w:spacing w:after="0"/>
        <w:jc w:val="center"/>
        <w:rPr>
          <w:b/>
          <w:sz w:val="23"/>
          <w:szCs w:val="23"/>
        </w:rPr>
      </w:pPr>
    </w:p>
    <w:p>
      <w:pPr>
        <w:pStyle w:val="10"/>
        <w:spacing w:before="120" w:line="276" w:lineRule="auto"/>
        <w:ind w:left="567" w:hanging="567"/>
        <w:jc w:val="both"/>
        <w:rPr>
          <w:rFonts w:ascii="Cambria" w:hAnsi="Cambria" w:cs="Times New Roman"/>
          <w:sz w:val="22"/>
          <w:szCs w:val="22"/>
        </w:rPr>
      </w:pPr>
      <w:r>
        <w:rPr>
          <w:rFonts w:ascii="Cambria" w:hAnsi="Cambria" w:cs="Times New Roman"/>
          <w:b/>
          <w:bCs/>
          <w:color w:val="auto"/>
          <w:sz w:val="22"/>
          <w:szCs w:val="22"/>
        </w:rPr>
        <w:t xml:space="preserve">3.1. Identifikasi Permasalahan Berdasarkan Tugas dan Fungsi Pelayanan </w:t>
      </w:r>
      <w:r>
        <w:rPr>
          <w:rFonts w:ascii="Cambria" w:hAnsi="Cambria" w:cs="Times New Roman"/>
          <w:b/>
          <w:sz w:val="22"/>
          <w:szCs w:val="22"/>
        </w:rPr>
        <w:t xml:space="preserve">Biro Administrasi Pengadaan dan Pengelolaan Barang Milik Daerah </w:t>
      </w:r>
    </w:p>
    <w:p>
      <w:pPr>
        <w:widowControl w:val="0"/>
        <w:spacing w:line="276" w:lineRule="auto"/>
        <w:ind w:left="425" w:hanging="425"/>
        <w:jc w:val="both"/>
        <w:rPr>
          <w:rFonts w:ascii="Cambria" w:hAnsi="Cambria"/>
          <w:b/>
          <w:bCs/>
          <w:sz w:val="10"/>
          <w:szCs w:val="10"/>
        </w:rPr>
      </w:pPr>
    </w:p>
    <w:p>
      <w:pPr>
        <w:pStyle w:val="10"/>
        <w:spacing w:before="120" w:line="276" w:lineRule="auto"/>
        <w:ind w:firstLine="720"/>
        <w:jc w:val="both"/>
        <w:rPr>
          <w:rFonts w:ascii="Cambria" w:hAnsi="Cambria" w:cs="Times New Roman"/>
          <w:sz w:val="22"/>
          <w:szCs w:val="22"/>
        </w:rPr>
      </w:pPr>
      <w:r>
        <w:rPr>
          <w:rFonts w:ascii="Cambria" w:hAnsi="Cambria" w:cs="Times New Roman"/>
          <w:color w:val="auto"/>
          <w:sz w:val="22"/>
          <w:szCs w:val="22"/>
        </w:rPr>
        <w:t xml:space="preserve">Berdasarkan </w:t>
      </w:r>
      <w:r>
        <w:rPr>
          <w:rFonts w:hint="default" w:ascii="Cambria" w:hAnsi="Cambria"/>
          <w:sz w:val="22"/>
          <w:szCs w:val="22"/>
        </w:rPr>
        <w:t>Peraturan Gubernur Sumatera Barat Nomor 69 Tahun 2018 tentang Uraian Tugas Pokok dan Fungsi Sekretariat Daerah Provinsi Sumatera Barat</w:t>
      </w:r>
      <w:r>
        <w:rPr>
          <w:rFonts w:ascii="Cambria" w:hAnsi="Cambria" w:cs="Times New Roman"/>
          <w:color w:val="auto"/>
          <w:sz w:val="22"/>
          <w:szCs w:val="22"/>
        </w:rPr>
        <w:t xml:space="preserve">, </w:t>
      </w:r>
      <w:r>
        <w:rPr>
          <w:rFonts w:ascii="Cambria" w:hAnsi="Cambria" w:cs="Times New Roman"/>
          <w:sz w:val="22"/>
          <w:szCs w:val="22"/>
        </w:rPr>
        <w:t xml:space="preserve">Biro Administrasi Pengadaan dan Pengelolaan Barang Milik Daerah mempunyai tugas pokok </w:t>
      </w:r>
      <w:r>
        <w:rPr>
          <w:rFonts w:hint="default" w:ascii="Cambria" w:hAnsi="Cambria" w:cs="Times New Roman"/>
          <w:sz w:val="22"/>
          <w:szCs w:val="22"/>
          <w:lang/>
        </w:rPr>
        <w:t>m</w:t>
      </w:r>
      <w:r>
        <w:rPr>
          <w:rFonts w:ascii="Cambria" w:hAnsi="Cambria" w:cs="Times New Roman"/>
          <w:sz w:val="22"/>
          <w:szCs w:val="22"/>
        </w:rPr>
        <w:t xml:space="preserve">enyelenggarakan perumusan pengkajian bahan kebijakan umum dan koordinasi, fasilitasi, pelaporan pelaksanaan bina sarana, pengadaan barang dan jasa, pengelolaan barang milik daerah. </w:t>
      </w:r>
    </w:p>
    <w:p>
      <w:pPr>
        <w:pStyle w:val="10"/>
        <w:spacing w:before="120" w:line="276" w:lineRule="auto"/>
        <w:ind w:firstLine="720"/>
        <w:jc w:val="both"/>
        <w:rPr>
          <w:rFonts w:ascii="Cambria" w:hAnsi="Cambria" w:cs="Times New Roman"/>
          <w:sz w:val="22"/>
          <w:szCs w:val="22"/>
        </w:rPr>
      </w:pPr>
      <w:r>
        <w:rPr>
          <w:rFonts w:ascii="Cambria" w:hAnsi="Cambria" w:cs="Times New Roman"/>
          <w:sz w:val="22"/>
          <w:szCs w:val="22"/>
        </w:rPr>
        <w:t>Dalam menyelenggarakan tugas pokok, Biro Administrasi Pengadaan dan Pengelolaan Barang Milik Daerah</w:t>
      </w:r>
      <w:r>
        <w:rPr>
          <w:rFonts w:ascii="Cambria" w:hAnsi="Cambria" w:cs="Times New Roman"/>
          <w:sz w:val="22"/>
          <w:szCs w:val="22"/>
          <w:lang w:val="en-US"/>
        </w:rPr>
        <w:t xml:space="preserve"> </w:t>
      </w:r>
      <w:r>
        <w:rPr>
          <w:rFonts w:ascii="Cambria" w:hAnsi="Cambria" w:cs="Times New Roman"/>
          <w:sz w:val="22"/>
          <w:szCs w:val="22"/>
        </w:rPr>
        <w:t xml:space="preserve">mempunyai fungsi </w:t>
      </w:r>
      <w:r>
        <w:rPr>
          <w:rFonts w:ascii="Cambria" w:hAnsi="Cambria" w:cs="Times New Roman"/>
          <w:sz w:val="22"/>
          <w:szCs w:val="22"/>
          <w:lang w:val="en-US"/>
        </w:rPr>
        <w:t>sebagai berikut</w:t>
      </w:r>
      <w:r>
        <w:rPr>
          <w:rFonts w:ascii="Cambria" w:hAnsi="Cambria" w:cs="Times New Roman"/>
          <w:sz w:val="22"/>
          <w:szCs w:val="22"/>
        </w:rPr>
        <w:t xml:space="preserve"> :</w:t>
      </w:r>
    </w:p>
    <w:p>
      <w:pPr>
        <w:pStyle w:val="10"/>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 xml:space="preserve">Penyelenggaraan perumusan kebijakan </w:t>
      </w:r>
      <w:r>
        <w:rPr>
          <w:rFonts w:hint="default" w:ascii="Cambria" w:hAnsi="Cambria" w:cs="Times New Roman"/>
          <w:sz w:val="22"/>
          <w:szCs w:val="22"/>
        </w:rPr>
        <w:t>daerah di bidang perencanaan, pembinaan dan pengelolaan barang milik daerah serta pengadaan barang dan jasa</w:t>
      </w:r>
      <w:r>
        <w:rPr>
          <w:rFonts w:ascii="Cambria" w:hAnsi="Cambria" w:cs="Times New Roman"/>
          <w:sz w:val="22"/>
          <w:szCs w:val="22"/>
        </w:rPr>
        <w:t xml:space="preserve">; </w:t>
      </w:r>
    </w:p>
    <w:p>
      <w:pPr>
        <w:pStyle w:val="10"/>
        <w:numPr>
          <w:ilvl w:val="0"/>
          <w:numId w:val="1"/>
        </w:numPr>
        <w:spacing w:line="276" w:lineRule="auto"/>
        <w:ind w:left="426" w:hanging="426"/>
        <w:jc w:val="both"/>
        <w:rPr>
          <w:rFonts w:ascii="Cambria" w:hAnsi="Cambria" w:cs="Times New Roman"/>
          <w:sz w:val="22"/>
          <w:szCs w:val="22"/>
        </w:rPr>
      </w:pPr>
      <w:r>
        <w:rPr>
          <w:rFonts w:ascii="Cambria" w:hAnsi="Cambria" w:cs="Times New Roman"/>
          <w:sz w:val="22"/>
          <w:szCs w:val="22"/>
        </w:rPr>
        <w:t xml:space="preserve">Penyelenggaraan </w:t>
      </w:r>
      <w:r>
        <w:rPr>
          <w:rFonts w:hint="default" w:ascii="Cambria" w:hAnsi="Cambria" w:cs="Times New Roman"/>
          <w:sz w:val="22"/>
          <w:szCs w:val="22"/>
        </w:rPr>
        <w:t xml:space="preserve">perencanaan, pembinaan dan pengelolaan barang milik daerah serta </w:t>
      </w:r>
      <w:r>
        <w:rPr>
          <w:rFonts w:ascii="Cambria" w:hAnsi="Cambria" w:cs="Times New Roman"/>
          <w:sz w:val="22"/>
          <w:szCs w:val="22"/>
        </w:rPr>
        <w:t>pengadaan barang dan jasa; dan</w:t>
      </w:r>
    </w:p>
    <w:p>
      <w:pPr>
        <w:pStyle w:val="10"/>
        <w:numPr>
          <w:ilvl w:val="0"/>
          <w:numId w:val="1"/>
        </w:numPr>
        <w:spacing w:line="276" w:lineRule="auto"/>
        <w:ind w:left="426" w:hanging="426"/>
        <w:jc w:val="both"/>
        <w:rPr>
          <w:rFonts w:ascii="Cambria" w:hAnsi="Cambria" w:cs="Times New Roman"/>
          <w:sz w:val="22"/>
          <w:szCs w:val="22"/>
        </w:rPr>
      </w:pPr>
      <w:bookmarkStart w:id="1" w:name="_GoBack"/>
      <w:bookmarkEnd w:id="1"/>
      <w:r>
        <w:rPr>
          <w:rFonts w:ascii="Cambria" w:hAnsi="Cambria" w:cs="Times New Roman"/>
          <w:sz w:val="22"/>
          <w:szCs w:val="22"/>
        </w:rPr>
        <w:t xml:space="preserve">Penyelenggaraan pelaporan dan evaluasi </w:t>
      </w:r>
      <w:r>
        <w:rPr>
          <w:rFonts w:hint="default" w:ascii="Cambria" w:hAnsi="Cambria" w:cs="Times New Roman"/>
          <w:sz w:val="22"/>
          <w:szCs w:val="22"/>
        </w:rPr>
        <w:t>pelaksanaan kebijakan di bidang perencanaan</w:t>
      </w:r>
      <w:r>
        <w:rPr>
          <w:rFonts w:ascii="Cambria" w:hAnsi="Cambria" w:cs="Times New Roman"/>
          <w:sz w:val="22"/>
          <w:szCs w:val="22"/>
        </w:rPr>
        <w:t>,</w:t>
      </w:r>
      <w:r>
        <w:rPr>
          <w:rFonts w:hint="default" w:ascii="Cambria" w:hAnsi="Cambria" w:cs="Times New Roman"/>
          <w:sz w:val="22"/>
          <w:szCs w:val="22"/>
        </w:rPr>
        <w:t xml:space="preserve"> pembinaan dan </w:t>
      </w:r>
      <w:r>
        <w:rPr>
          <w:rFonts w:ascii="Cambria" w:hAnsi="Cambria" w:cs="Times New Roman"/>
          <w:sz w:val="22"/>
          <w:szCs w:val="22"/>
        </w:rPr>
        <w:t>pengelolaan barang milik daerah</w:t>
      </w:r>
      <w:r>
        <w:rPr>
          <w:rFonts w:hint="default" w:ascii="Cambria" w:hAnsi="Cambria" w:cs="Times New Roman"/>
          <w:sz w:val="22"/>
          <w:szCs w:val="22"/>
        </w:rPr>
        <w:t xml:space="preserve"> serta</w:t>
      </w:r>
      <w:r>
        <w:rPr>
          <w:rFonts w:ascii="Cambria" w:hAnsi="Cambria" w:cs="Times New Roman"/>
          <w:sz w:val="22"/>
          <w:szCs w:val="22"/>
        </w:rPr>
        <w:t xml:space="preserve"> pengadaan barang dan jasa.</w:t>
      </w:r>
    </w:p>
    <w:p>
      <w:pPr>
        <w:pStyle w:val="10"/>
        <w:spacing w:line="276" w:lineRule="auto"/>
        <w:ind w:left="426"/>
        <w:jc w:val="both"/>
        <w:rPr>
          <w:rFonts w:ascii="Cambria" w:hAnsi="Cambria" w:cs="Times New Roman"/>
          <w:sz w:val="22"/>
          <w:szCs w:val="22"/>
        </w:rPr>
      </w:pPr>
    </w:p>
    <w:p>
      <w:pPr>
        <w:tabs>
          <w:tab w:val="left" w:pos="0"/>
        </w:tabs>
        <w:spacing w:line="276" w:lineRule="auto"/>
        <w:jc w:val="both"/>
        <w:rPr>
          <w:rFonts w:ascii="Cambria" w:hAnsi="Cambria" w:cs="Tahoma"/>
        </w:rPr>
      </w:pPr>
      <w:r>
        <w:rPr>
          <w:rFonts w:ascii="Cambria" w:hAnsi="Cambria" w:cs="Tahoma"/>
        </w:rPr>
        <w:tab/>
      </w:r>
      <w:r>
        <w:rPr>
          <w:rFonts w:ascii="Cambria" w:hAnsi="Cambria" w:cs="Tahoma"/>
        </w:rPr>
        <w:t>Permasalahan pokok pembangunan Biro Administrasi Pengadaan dan Pengelolaan Barang Milik Daerah Provinsi Sumatera Barat pada dasarnya meliputi beberapa aspek yang menyangkut dengan kendala dan tantangan yang harus dipecahkan untuk mendorong peningkatan kualitas pengelolaan aset di Sumatera Barat. Untuk lebih jelasnya identifikasi permasalahan di Biro Administrasi Pengadaan dan Pengelolaan Barang Milik Daerah Provinsi Sumatera Barat dalam menjalankan tugas dan fungsinya dapat dilihat pada table berikut :</w:t>
      </w:r>
    </w:p>
    <w:p>
      <w:pPr>
        <w:spacing w:line="276" w:lineRule="auto"/>
        <w:rPr>
          <w:rFonts w:ascii="Cambria" w:hAnsi="Cambria" w:cs="Tahoma"/>
          <w:b/>
        </w:rPr>
      </w:pPr>
    </w:p>
    <w:p>
      <w:pPr>
        <w:tabs>
          <w:tab w:val="left" w:pos="0"/>
        </w:tabs>
        <w:spacing w:line="276" w:lineRule="auto"/>
        <w:jc w:val="both"/>
        <w:rPr>
          <w:rFonts w:ascii="Cambria" w:hAnsi="Cambria" w:cs="Tahoma"/>
        </w:rPr>
        <w:sectPr>
          <w:headerReference r:id="rId3" w:type="default"/>
          <w:footerReference r:id="rId4" w:type="default"/>
          <w:pgSz w:w="11906" w:h="16838"/>
          <w:pgMar w:top="1247" w:right="1418" w:bottom="1418" w:left="1418" w:header="907" w:footer="890" w:gutter="0"/>
          <w:pgNumType w:start="34"/>
          <w:cols w:space="708" w:num="1"/>
          <w:docGrid w:linePitch="360" w:charSpace="0"/>
        </w:sectPr>
      </w:pPr>
    </w:p>
    <w:p>
      <w:pPr>
        <w:spacing w:after="0" w:line="276" w:lineRule="auto"/>
        <w:ind w:left="1077" w:hanging="1077"/>
        <w:jc w:val="center"/>
        <w:rPr>
          <w:rFonts w:ascii="Cambria" w:hAnsi="Cambria" w:cs="Tahoma"/>
          <w:b/>
        </w:rPr>
      </w:pPr>
      <w:r>
        <w:rPr>
          <w:rFonts w:ascii="Cambria" w:hAnsi="Cambria" w:cs="Tahoma"/>
          <w:b/>
        </w:rPr>
        <w:t>Tabel 3.1</w:t>
      </w:r>
    </w:p>
    <w:p>
      <w:pPr>
        <w:spacing w:after="0" w:line="276" w:lineRule="auto"/>
        <w:ind w:left="1077" w:hanging="1077"/>
        <w:jc w:val="center"/>
        <w:rPr>
          <w:rFonts w:ascii="Cambria" w:hAnsi="Cambria" w:cs="Tahoma"/>
          <w:b/>
        </w:rPr>
      </w:pPr>
      <w:r>
        <w:rPr>
          <w:rFonts w:ascii="Cambria" w:hAnsi="Cambria" w:cs="Tahoma"/>
          <w:b/>
        </w:rPr>
        <w:t>Identifikasi Permasalahan Berdasarkan Tugas Pokok dan Fungsi</w:t>
      </w:r>
    </w:p>
    <w:p>
      <w:pPr>
        <w:tabs>
          <w:tab w:val="left" w:pos="0"/>
        </w:tabs>
        <w:spacing w:after="0" w:line="276" w:lineRule="auto"/>
        <w:jc w:val="center"/>
        <w:rPr>
          <w:rFonts w:ascii="Cambria" w:hAnsi="Cambria" w:cs="Tahoma"/>
          <w:b/>
        </w:rPr>
      </w:pPr>
      <w:r>
        <w:rPr>
          <w:rFonts w:ascii="Cambria" w:hAnsi="Cambria" w:cs="Tahoma"/>
          <w:b/>
        </w:rPr>
        <w:t>Biro Administrasi Pengadaan dan Pengelolaan Barang Milik Daerah</w:t>
      </w:r>
    </w:p>
    <w:p>
      <w:pPr>
        <w:tabs>
          <w:tab w:val="left" w:pos="0"/>
        </w:tabs>
        <w:spacing w:after="0" w:line="276" w:lineRule="auto"/>
        <w:jc w:val="center"/>
        <w:rPr>
          <w:rFonts w:ascii="Cambria" w:hAnsi="Cambria" w:cs="Tahoma"/>
        </w:rPr>
      </w:pPr>
    </w:p>
    <w:p>
      <w:pPr>
        <w:tabs>
          <w:tab w:val="left" w:pos="0"/>
        </w:tabs>
        <w:spacing w:line="276" w:lineRule="auto"/>
        <w:rPr>
          <w:rFonts w:ascii="Cambria" w:hAnsi="Cambria" w:cs="Tahoma"/>
        </w:rPr>
      </w:pPr>
      <w:r>
        <w:rPr>
          <w:rFonts w:ascii="Cambria" w:hAnsi="Cambria" w:cs="Tahoma"/>
          <w:lang w:val="en-US"/>
        </w:rPr>
        <w:pict>
          <v:shape id="_x0000_s1026" o:spid="_x0000_s1026" o:spt="75" type="#_x0000_t75" style="position:absolute;left:0pt;margin-left:12.5pt;margin-top:0.1pt;height:181.7pt;width:641.5pt;mso-wrap-distance-bottom:0pt;mso-wrap-distance-left:9pt;mso-wrap-distance-right:9pt;mso-wrap-distance-top:0pt;z-index:251659264;mso-width-relative:page;mso-height-relative:page;" o:ole="t" filled="f" o:preferrelative="t" stroked="f" coordsize="21600,21600">
            <v:path/>
            <v:fill on="f" focussize="0,0"/>
            <v:stroke on="f" joinstyle="miter"/>
            <v:imagedata r:id="rId9" o:title=""/>
            <o:lock v:ext="edit" aspectratio="t"/>
            <w10:wrap type="square" side="right"/>
          </v:shape>
          <o:OLEObject Type="Embed" ProgID="Excel.Sheet.12" ShapeID="_x0000_s1026" DrawAspect="Content" ObjectID="_1468075725" r:id="rId8">
            <o:LockedField>false</o:LockedField>
          </o:OLEObject>
        </w:pict>
      </w:r>
      <w:r>
        <w:rPr>
          <w:rFonts w:ascii="Cambria" w:hAnsi="Cambria" w:cs="Tahoma"/>
        </w:rPr>
        <w:br w:type="textWrapping" w:clear="all"/>
      </w:r>
    </w:p>
    <w:p>
      <w:pPr>
        <w:tabs>
          <w:tab w:val="left" w:pos="0"/>
        </w:tabs>
        <w:spacing w:line="276" w:lineRule="auto"/>
        <w:rPr>
          <w:rFonts w:ascii="Cambria" w:hAnsi="Cambria" w:cs="Tahoma"/>
        </w:rPr>
      </w:pPr>
    </w:p>
    <w:p>
      <w:pPr>
        <w:tabs>
          <w:tab w:val="left" w:pos="0"/>
        </w:tabs>
        <w:spacing w:line="276" w:lineRule="auto"/>
        <w:rPr>
          <w:rFonts w:ascii="Cambria" w:hAnsi="Cambria" w:cs="Tahoma"/>
        </w:rPr>
      </w:pPr>
    </w:p>
    <w:p>
      <w:pPr>
        <w:tabs>
          <w:tab w:val="left" w:pos="0"/>
        </w:tabs>
        <w:spacing w:line="276" w:lineRule="auto"/>
        <w:rPr>
          <w:rFonts w:ascii="Cambria" w:hAnsi="Cambria" w:cs="Tahoma"/>
        </w:rPr>
      </w:pPr>
    </w:p>
    <w:p>
      <w:pPr>
        <w:tabs>
          <w:tab w:val="left" w:pos="0"/>
        </w:tabs>
        <w:spacing w:line="276" w:lineRule="auto"/>
        <w:rPr>
          <w:rFonts w:ascii="Cambria" w:hAnsi="Cambria" w:cs="Tahoma"/>
        </w:rPr>
      </w:pPr>
    </w:p>
    <w:p>
      <w:pPr>
        <w:spacing w:line="276" w:lineRule="auto"/>
        <w:jc w:val="center"/>
        <w:rPr>
          <w:rFonts w:ascii="Cambria" w:hAnsi="Cambria" w:cs="Tahoma"/>
        </w:rPr>
      </w:pPr>
    </w:p>
    <w:p>
      <w:pPr>
        <w:spacing w:line="276" w:lineRule="auto"/>
        <w:rPr>
          <w:rFonts w:ascii="Cambria" w:hAnsi="Cambria" w:cs="Tahoma"/>
        </w:rPr>
      </w:pPr>
    </w:p>
    <w:p>
      <w:pPr>
        <w:spacing w:line="276" w:lineRule="auto"/>
        <w:rPr>
          <w:rFonts w:ascii="Cambria" w:hAnsi="Cambria" w:cs="Tahoma"/>
        </w:rPr>
        <w:sectPr>
          <w:pgSz w:w="16838" w:h="11906" w:orient="landscape"/>
          <w:pgMar w:top="1831" w:right="1418" w:bottom="1797" w:left="1701" w:header="907" w:footer="890" w:gutter="0"/>
          <w:cols w:space="708" w:num="1"/>
          <w:docGrid w:linePitch="360" w:charSpace="0"/>
        </w:sectPr>
      </w:pPr>
    </w:p>
    <w:p>
      <w:pPr>
        <w:tabs>
          <w:tab w:val="left" w:pos="0"/>
        </w:tabs>
        <w:spacing w:line="276" w:lineRule="auto"/>
        <w:jc w:val="both"/>
        <w:rPr>
          <w:rFonts w:ascii="Cambria" w:hAnsi="Cambria" w:cs="Tahoma"/>
        </w:rPr>
      </w:pPr>
      <w:r>
        <w:rPr>
          <w:rFonts w:ascii="Cambria" w:hAnsi="Cambria" w:cs="Tahoma"/>
        </w:rPr>
        <w:tab/>
      </w:r>
      <w:r>
        <w:rPr>
          <w:rFonts w:ascii="Cambria" w:hAnsi="Cambria" w:cs="Tahoma"/>
        </w:rPr>
        <w:t>Berdasarkan identifikasi sebagaimana pada tabel diatas, dapat diketahui permasalahan yang dihadapi Biro Administrasi Pengadaan dan Pengelolaan Barang Milik Daerah dalam menjalankan tugas pokok dan fungsinya, sehingga target yang ditetapkan belum keseluruhan tercapai, yaitu:</w:t>
      </w:r>
    </w:p>
    <w:p>
      <w:pPr>
        <w:pStyle w:val="15"/>
        <w:numPr>
          <w:ilvl w:val="6"/>
          <w:numId w:val="2"/>
        </w:numPr>
        <w:tabs>
          <w:tab w:val="left" w:pos="0"/>
          <w:tab w:val="clear" w:pos="5400"/>
        </w:tabs>
        <w:spacing w:after="200" w:line="276" w:lineRule="auto"/>
        <w:ind w:left="720"/>
        <w:jc w:val="both"/>
        <w:rPr>
          <w:rFonts w:ascii="Cambria" w:hAnsi="Cambria" w:cs="Tahoma"/>
        </w:rPr>
      </w:pPr>
      <w:r>
        <w:rPr>
          <w:rFonts w:ascii="Cambria" w:hAnsi="Cambria" w:cs="Tahoma"/>
        </w:rPr>
        <w:t>Belum optimalnya tata kelola aset dalam hal legalisasi kepemilikan Aset.</w:t>
      </w:r>
    </w:p>
    <w:p>
      <w:pPr>
        <w:pStyle w:val="15"/>
        <w:tabs>
          <w:tab w:val="left" w:pos="0"/>
        </w:tabs>
        <w:spacing w:line="276" w:lineRule="auto"/>
        <w:jc w:val="both"/>
        <w:rPr>
          <w:rFonts w:ascii="Cambria" w:hAnsi="Cambria" w:cs="Tahoma"/>
        </w:rPr>
      </w:pPr>
      <w:r>
        <w:rPr>
          <w:rFonts w:ascii="Cambria" w:hAnsi="Cambria" w:cs="Tahoma"/>
        </w:rPr>
        <w:t xml:space="preserve">Ketentuan bahwa Aset harus dimiliki dan dikuasai mencerminkan tertibnya administrasi tata kelola aset, dimana selain dimiliki baik secara pembelian melalui Belanja Modal, mutasi maupun hibah, Aset juga harus dikuasai dengan kata lain dimanfaatkan sendiri oleh SKPD Pengguna, tanpa penyerobotan atau penyalahgunaan penggunaan oleh pihak lain. Demikian juga apabila terdapat Aset yang dikuasai (tercatat pada Buku Inventaris) akan tetapi belum dimiliki secara legal, akan berdampak pada kurang tertibnya administrasi dan kurangnya validitas data Aset. Oleh karena itu setiap Aset yang dikuasai harus memiliki bukti kepemilikan yang legal, contohnya sertifikat Tanah yang sudah atas nama Pengguna. </w:t>
      </w:r>
    </w:p>
    <w:p>
      <w:pPr>
        <w:pStyle w:val="15"/>
        <w:tabs>
          <w:tab w:val="left" w:pos="0"/>
        </w:tabs>
        <w:spacing w:line="276" w:lineRule="auto"/>
        <w:jc w:val="both"/>
        <w:rPr>
          <w:rFonts w:ascii="Cambria" w:hAnsi="Cambria" w:cs="Tahoma"/>
        </w:rPr>
      </w:pPr>
      <w:r>
        <w:rPr>
          <w:rFonts w:ascii="Cambria" w:hAnsi="Cambria" w:cs="Tahoma"/>
        </w:rPr>
        <w:t>Hingga akhir tahun 2015, jumlah Tanah yang tercatat pada Neraca LKPD Prov. Sumatera Barat adalah 460 persil, namun baru 173 persil ( 37,6%) yang bersertifikat atas nama Pemerintah Prov. Sumatera Barat. Angka ini tergolong sedikit, mengingat Pemerintah Provinsi Sumatera Barat telah mendapat opini WTP dari BPK-RI dan sudah semestinya ada peningkatan yang signifikan dalam hal keabsahan legalisasi Tanah.</w:t>
      </w:r>
    </w:p>
    <w:p>
      <w:pPr>
        <w:pStyle w:val="15"/>
        <w:tabs>
          <w:tab w:val="left" w:pos="0"/>
        </w:tabs>
        <w:spacing w:line="276" w:lineRule="auto"/>
        <w:jc w:val="both"/>
        <w:rPr>
          <w:rFonts w:ascii="Cambria" w:hAnsi="Cambria" w:cs="Tahoma"/>
        </w:rPr>
      </w:pPr>
      <w:r>
        <w:rPr>
          <w:rFonts w:ascii="Cambria" w:hAnsi="Cambria" w:cs="Tahoma"/>
        </w:rPr>
        <w:t xml:space="preserve">Biro Administrasi Pengadaan dan Pengelolaan Barang Milik Daerah telah berupaya dalam 4 (empat) tahun terakhir untuk menuntaskan permasalahan legalisasi Tanah ini, namun memiliki hambatan dari faktor eksternal dimana kompleks dan panjangnya rentang kendali pengurusan administrasi pensertifikatan Tanah oleh pihak BPN. Sehingga target terbitnya sertifikat Tanah setiap tahunnya hampir tidak tercapai 100%. </w:t>
      </w:r>
    </w:p>
    <w:p>
      <w:pPr>
        <w:pStyle w:val="15"/>
        <w:tabs>
          <w:tab w:val="left" w:pos="0"/>
        </w:tabs>
        <w:spacing w:line="276" w:lineRule="auto"/>
        <w:jc w:val="both"/>
        <w:rPr>
          <w:rFonts w:ascii="Cambria" w:hAnsi="Cambria" w:cs="Tahoma"/>
        </w:rPr>
      </w:pPr>
    </w:p>
    <w:p>
      <w:pPr>
        <w:pStyle w:val="15"/>
        <w:numPr>
          <w:ilvl w:val="6"/>
          <w:numId w:val="2"/>
        </w:numPr>
        <w:tabs>
          <w:tab w:val="left" w:pos="0"/>
          <w:tab w:val="clear" w:pos="5400"/>
        </w:tabs>
        <w:spacing w:after="200" w:line="276" w:lineRule="auto"/>
        <w:ind w:left="720"/>
        <w:jc w:val="both"/>
        <w:rPr>
          <w:rFonts w:ascii="Cambria" w:hAnsi="Cambria" w:cs="Tahoma"/>
        </w:rPr>
      </w:pPr>
      <w:r>
        <w:rPr>
          <w:rFonts w:ascii="Cambria" w:hAnsi="Cambria" w:cs="Tahoma"/>
        </w:rPr>
        <w:t>Belum optimalnya pengamanan aset dari sisi fisik.</w:t>
      </w:r>
    </w:p>
    <w:p>
      <w:pPr>
        <w:pStyle w:val="15"/>
        <w:tabs>
          <w:tab w:val="left" w:pos="0"/>
        </w:tabs>
        <w:spacing w:line="276" w:lineRule="auto"/>
        <w:jc w:val="both"/>
        <w:rPr>
          <w:rFonts w:ascii="Cambria" w:hAnsi="Cambria" w:cs="Tahoma"/>
        </w:rPr>
      </w:pPr>
      <w:r>
        <w:rPr>
          <w:rFonts w:ascii="Cambria" w:hAnsi="Cambria" w:cs="Tahoma"/>
        </w:rPr>
        <w:t>Pengamanan Aset bertujuan untuk menghindari penyerobotan penggunaan Aset oleh pihak lain. Yang dimaksud pengamanan fisik aset adalah memasang pagar batas, melakukan penjagaan serta memasang tanda kepemilikan untuk Tanah (dapat berupa plang Tanah) dan Bangunan (dapat berupa plang ataupun label Bangunan). Hingga akhir tahun 2015, dari 460 persil tanah yang tercatat di Neraca baru 70 persil yang diberi pengamanan berupa plang tanda kepemilikan. Sedangkan untuk Bangunan, dari 1.363 unit Bangunan bari 210 unit yang diberi pengamanan berupa label tanda kepemilikan. Minimnya tingkat pengamanan ini dapat berakibat penggunaan tanpa izin oleh pihak lain atau masyarakat sekitar Tanah/Bangunan, sehingga permasalahan ini harus dapat diselesaikan pada tahun-tahun mendatang.</w:t>
      </w:r>
    </w:p>
    <w:p>
      <w:pPr>
        <w:pStyle w:val="15"/>
        <w:tabs>
          <w:tab w:val="left" w:pos="0"/>
        </w:tabs>
        <w:spacing w:line="276" w:lineRule="auto"/>
        <w:jc w:val="both"/>
        <w:rPr>
          <w:rFonts w:ascii="Cambria" w:hAnsi="Cambria"/>
        </w:rPr>
      </w:pPr>
      <w:r>
        <w:rPr>
          <w:rFonts w:ascii="Cambria" w:hAnsi="Cambria" w:cs="Tahoma"/>
        </w:rPr>
        <w:t>Terbatasnya anggaran yang ditetapkan setiap tahunnya menjadi faktor penghambat untuk merealisasikan target pengamanan ini.</w:t>
      </w:r>
    </w:p>
    <w:p>
      <w:pPr>
        <w:widowControl w:val="0"/>
        <w:spacing w:line="276" w:lineRule="auto"/>
        <w:ind w:left="425" w:hanging="425"/>
        <w:jc w:val="both"/>
        <w:rPr>
          <w:rFonts w:ascii="Cambria" w:hAnsi="Cambria"/>
          <w:b/>
          <w:bCs/>
        </w:rPr>
      </w:pPr>
      <w:r>
        <w:rPr>
          <w:rFonts w:ascii="Cambria" w:hAnsi="Cambria"/>
          <w:b/>
          <w:bCs/>
        </w:rPr>
        <w:t xml:space="preserve">3.2. </w:t>
      </w:r>
      <w:r>
        <w:rPr>
          <w:rFonts w:ascii="Cambria" w:hAnsi="Cambria"/>
          <w:b/>
        </w:rPr>
        <w:t>Telaahan Visi, Misi dan Program Kepala Daerah dan Wakil Kepala Daerah Terpilih</w:t>
      </w:r>
    </w:p>
    <w:p>
      <w:pPr>
        <w:spacing w:after="120" w:line="276" w:lineRule="auto"/>
        <w:ind w:firstLine="720"/>
        <w:jc w:val="both"/>
        <w:rPr>
          <w:rFonts w:ascii="Cambria" w:hAnsi="Cambria"/>
        </w:rPr>
      </w:pPr>
      <w:r>
        <w:rPr>
          <w:rFonts w:ascii="Cambria" w:hAnsi="Cambria"/>
        </w:rPr>
        <w:t xml:space="preserve">Visi pemerintahan daerah Provinsi Sumatera Barat Tahun 2016-2021 di dalam RPJM Daerah Provinsi Sumatera Barat adalah : </w:t>
      </w:r>
      <w:r>
        <w:rPr>
          <w:rFonts w:ascii="Cambria" w:hAnsi="Cambria"/>
          <w:b/>
          <w:i/>
        </w:rPr>
        <w:t>“Terwujudnya Sumatera Barat yang Madani dan Sejahtera”</w:t>
      </w:r>
      <w:r>
        <w:rPr>
          <w:rFonts w:ascii="Cambria" w:hAnsi="Cambria"/>
        </w:rPr>
        <w:t xml:space="preserve">. </w:t>
      </w:r>
    </w:p>
    <w:p>
      <w:pPr>
        <w:tabs>
          <w:tab w:val="left" w:pos="0"/>
        </w:tabs>
        <w:spacing w:line="276" w:lineRule="auto"/>
        <w:ind w:firstLine="567"/>
        <w:jc w:val="both"/>
        <w:rPr>
          <w:rFonts w:ascii="Cambria" w:hAnsi="Cambria" w:cs="Tahoma"/>
        </w:rPr>
      </w:pPr>
      <w:r>
        <w:rPr>
          <w:rFonts w:ascii="Cambria" w:hAnsi="Cambria" w:cs="Tahoma"/>
          <w:b/>
        </w:rPr>
        <w:t xml:space="preserve">Sumatera Barat </w:t>
      </w:r>
      <w:r>
        <w:rPr>
          <w:rFonts w:ascii="Cambria" w:hAnsi="Cambria" w:cs="Tahoma"/>
          <w:b/>
          <w:i/>
          <w:lang w:val="sv-SE"/>
        </w:rPr>
        <w:t xml:space="preserve">Madani </w:t>
      </w:r>
      <w:r>
        <w:rPr>
          <w:rFonts w:ascii="Cambria" w:hAnsi="Cambria" w:cs="Tahoma"/>
          <w:lang w:val="sv-SE"/>
        </w:rPr>
        <w:t xml:space="preserve">adalah suatu masyarakat </w:t>
      </w:r>
      <w:r>
        <w:rPr>
          <w:rFonts w:ascii="Cambria" w:hAnsi="Cambria" w:cs="Tahoma"/>
        </w:rPr>
        <w:t xml:space="preserve">yang </w:t>
      </w:r>
      <w:r>
        <w:rPr>
          <w:rFonts w:ascii="Cambria" w:hAnsi="Cambria" w:cs="Tahoma"/>
          <w:lang w:val="sv-SE"/>
        </w:rPr>
        <w:t>berperadaban tinggi dan maju yang berbasis pada nilai-nilai, norma hukum, moral yang ditopang oleh keimanan. Masyarakat madani menghormati pluralistis, bersikap terbuka dan demokratis serta selalu bergotong royong menjaga kedaulatan negara. Dengan demikian, masyarakat madani tersebut pada dasarnya adalah masyarakat yang agamais yang ditandai oleh adanya keseimbangan antara kehidupan dunia dan akhirat, jasmani dan rohani, lahir dan batin serta material dan sipiritual</w:t>
      </w:r>
      <w:r>
        <w:rPr>
          <w:rFonts w:ascii="Cambria" w:hAnsi="Cambria" w:cs="Tahoma"/>
        </w:rPr>
        <w:t>.</w:t>
      </w:r>
    </w:p>
    <w:p>
      <w:pPr>
        <w:tabs>
          <w:tab w:val="left" w:pos="0"/>
        </w:tabs>
        <w:spacing w:line="276" w:lineRule="auto"/>
        <w:ind w:firstLine="567"/>
        <w:jc w:val="both"/>
        <w:rPr>
          <w:rFonts w:ascii="Cambria" w:hAnsi="Cambria" w:cs="Tahoma"/>
        </w:rPr>
      </w:pPr>
      <w:r>
        <w:rPr>
          <w:rFonts w:ascii="Cambria" w:hAnsi="Cambria" w:cs="Tahoma"/>
          <w:b/>
        </w:rPr>
        <w:t>Sumatera Barat Sejahtera</w:t>
      </w:r>
      <w:r>
        <w:rPr>
          <w:rFonts w:ascii="Cambria" w:hAnsi="Cambria" w:cs="Tahoma"/>
        </w:rPr>
        <w:t xml:space="preserve"> merupakan suatu kondisi masyarakat yang terpenuhi kebutuhan dasar seperti sandang, pangan, perumahan, air bersih, kesehatan, pendidikan, pekerjaan, rasa aman dari perlakuan atau ancaman tindak kekerasan fisik maupun non fisik, lingkungan hidup dan sumber daya alam, berpartisipasi dalam kehidupan sosial dan politik, mempunyai akses terhadap informasi serta hiburan; terciptanya hubungan antar masyarakat yang dinamis, saling menghargai, bantu membantu, saling pengertian, serta tersediannya prasarana dan sarana publik terkait dengan infrastruktur pelayanan publik, transparansi dan teknologi yang mencukupi, nyaman dan terpelihara dengan baik. Pemenuhan kebutuhan dasar rakyat bersifart dinamis, dari waktu ke waktu akan mengalami perubahan sesuai dengan aspirasi dan tuntutan yang berkembang di masyarakat. Untuk itu sarana dan prasarana dalam usaha memenuhi kebutuhan dasar harus terus menerus mengikuti dinamika perubahan, serta dibuka ruang yang seluas-luasnya untuk mencapai kemajuan dan perkembangan bagi kehidupan yang lebih baik secara berkesinambungan.</w:t>
      </w:r>
    </w:p>
    <w:p>
      <w:pPr>
        <w:tabs>
          <w:tab w:val="left" w:pos="0"/>
        </w:tabs>
        <w:spacing w:line="276" w:lineRule="auto"/>
        <w:ind w:firstLine="567"/>
        <w:jc w:val="both"/>
        <w:rPr>
          <w:rFonts w:ascii="Cambria" w:hAnsi="Cambria" w:cs="Tahoma"/>
          <w:bCs/>
          <w:iCs/>
        </w:rPr>
      </w:pPr>
      <w:r>
        <w:rPr>
          <w:rFonts w:ascii="Cambria" w:hAnsi="Cambria" w:cs="Tahoma"/>
        </w:rPr>
        <w:t xml:space="preserve">Untuk mewujudkan visi pembangunan daerah tersebut, juga telah dijabarkan misi pembangunan daerah Provinsi Sumatera Barat tahun 2016-2021 yaitu </w:t>
      </w:r>
      <w:r>
        <w:rPr>
          <w:rFonts w:ascii="Cambria" w:hAnsi="Cambria" w:cs="Tahoma"/>
          <w:bCs/>
          <w:iCs/>
        </w:rPr>
        <w:t>:</w:t>
      </w:r>
    </w:p>
    <w:p>
      <w:pPr>
        <w:pStyle w:val="15"/>
        <w:numPr>
          <w:ilvl w:val="0"/>
          <w:numId w:val="3"/>
        </w:numPr>
        <w:spacing w:after="0" w:line="276" w:lineRule="auto"/>
        <w:ind w:left="567" w:hanging="567"/>
        <w:jc w:val="both"/>
        <w:rPr>
          <w:rFonts w:ascii="Cambria" w:hAnsi="Cambria" w:cs="Tahoma"/>
          <w:color w:val="000000"/>
        </w:rPr>
      </w:pPr>
      <w:r>
        <w:rPr>
          <w:rFonts w:ascii="Cambria" w:hAnsi="Cambria" w:cs="Tahoma"/>
          <w:bCs/>
          <w:color w:val="000000"/>
        </w:rPr>
        <w:t>Meningkatkan tata kehidupan yang harmonis, agamais, beradat, dan berbudaya berdasarkan falsafah” Adat Basandi Syarak, Syarak Basandi Kitabullah;</w:t>
      </w:r>
    </w:p>
    <w:p>
      <w:pPr>
        <w:pStyle w:val="15"/>
        <w:numPr>
          <w:ilvl w:val="0"/>
          <w:numId w:val="3"/>
        </w:numPr>
        <w:spacing w:after="0" w:line="276" w:lineRule="auto"/>
        <w:ind w:left="567" w:hanging="567"/>
        <w:jc w:val="both"/>
        <w:rPr>
          <w:rFonts w:ascii="Cambria" w:hAnsi="Cambria" w:cs="Tahoma"/>
          <w:color w:val="000000"/>
        </w:rPr>
      </w:pPr>
      <w:r>
        <w:rPr>
          <w:rFonts w:ascii="Cambria" w:hAnsi="Cambria" w:cs="Tahoma"/>
          <w:color w:val="000000"/>
        </w:rPr>
        <w:t>Meningkatkan tata pemerintahan yang baik, bersih dan profesional;</w:t>
      </w:r>
    </w:p>
    <w:p>
      <w:pPr>
        <w:pStyle w:val="15"/>
        <w:numPr>
          <w:ilvl w:val="0"/>
          <w:numId w:val="3"/>
        </w:numPr>
        <w:spacing w:after="0" w:line="276" w:lineRule="auto"/>
        <w:ind w:left="567" w:hanging="567"/>
        <w:jc w:val="both"/>
        <w:rPr>
          <w:rFonts w:ascii="Cambria" w:hAnsi="Cambria" w:cs="Tahoma"/>
          <w:color w:val="000000"/>
        </w:rPr>
      </w:pPr>
      <w:r>
        <w:rPr>
          <w:rFonts w:ascii="Cambria" w:hAnsi="Cambria" w:cs="Tahoma"/>
          <w:color w:val="000000"/>
        </w:rPr>
        <w:t>Meningkatkan sumberdaya manusia yang cerdas, sehat, beriman, berkarakter, dan berkualitas tinggi;</w:t>
      </w:r>
    </w:p>
    <w:p>
      <w:pPr>
        <w:pStyle w:val="15"/>
        <w:numPr>
          <w:ilvl w:val="0"/>
          <w:numId w:val="3"/>
        </w:numPr>
        <w:spacing w:after="0" w:line="276" w:lineRule="auto"/>
        <w:ind w:left="567" w:hanging="567"/>
        <w:jc w:val="both"/>
        <w:rPr>
          <w:rFonts w:ascii="Cambria" w:hAnsi="Cambria" w:cs="Tahoma"/>
          <w:color w:val="000000"/>
        </w:rPr>
      </w:pPr>
      <w:r>
        <w:rPr>
          <w:rFonts w:ascii="Cambria" w:hAnsi="Cambria" w:cs="Tahoma"/>
          <w:color w:val="000000"/>
        </w:rPr>
        <w:t xml:space="preserve">Meningkatkan ekonomi masyarakat berbasis kerakyatan yang tangguh, produktif, dan berdaya saing regional dan global, dengan mengoptimalkan pemanfaatan potensi sumberdaya pembangunan daerah; </w:t>
      </w:r>
    </w:p>
    <w:p>
      <w:pPr>
        <w:pStyle w:val="15"/>
        <w:numPr>
          <w:ilvl w:val="0"/>
          <w:numId w:val="3"/>
        </w:numPr>
        <w:spacing w:after="0" w:line="276" w:lineRule="auto"/>
        <w:ind w:left="567" w:hanging="567"/>
        <w:jc w:val="both"/>
        <w:rPr>
          <w:rFonts w:ascii="Cambria" w:hAnsi="Cambria" w:cs="Tahoma"/>
          <w:color w:val="000000"/>
        </w:rPr>
      </w:pPr>
      <w:r>
        <w:rPr>
          <w:rFonts w:ascii="Cambria" w:hAnsi="Cambria" w:cs="Tahoma"/>
          <w:color w:val="000000"/>
        </w:rPr>
        <w:t>Meningkatkan Infrastruktur dan pembangunan yang berkelanjutan dan berwawasan lingkungan.</w:t>
      </w:r>
    </w:p>
    <w:p>
      <w:pPr>
        <w:spacing w:after="120" w:line="276" w:lineRule="auto"/>
        <w:ind w:firstLine="720"/>
        <w:jc w:val="both"/>
        <w:rPr>
          <w:rFonts w:ascii="Cambria" w:hAnsi="Cambria"/>
        </w:rPr>
      </w:pPr>
    </w:p>
    <w:p>
      <w:pPr>
        <w:spacing w:after="120" w:line="276" w:lineRule="auto"/>
        <w:ind w:firstLine="720"/>
        <w:jc w:val="both"/>
        <w:rPr>
          <w:rFonts w:ascii="Cambria" w:hAnsi="Cambria"/>
        </w:rPr>
      </w:pPr>
      <w:r>
        <w:rPr>
          <w:rFonts w:ascii="Cambria" w:hAnsi="Cambria"/>
        </w:rPr>
        <w:t xml:space="preserve">Jika diperhatikan dari Misi RPJMD 2016-2021 diatas maka Biro Administrasi Pengadaan dan Pengelolaan Barang Milik Daerah termasuk kedalam </w:t>
      </w:r>
      <w:r>
        <w:rPr>
          <w:rFonts w:ascii="Cambria" w:hAnsi="Cambria"/>
          <w:b/>
          <w:i/>
        </w:rPr>
        <w:t>Misi 2</w:t>
      </w:r>
      <w:r>
        <w:rPr>
          <w:rFonts w:ascii="Cambria" w:hAnsi="Cambria"/>
        </w:rPr>
        <w:t xml:space="preserve"> yaitu </w:t>
      </w:r>
      <w:r>
        <w:rPr>
          <w:rFonts w:ascii="Cambria" w:hAnsi="Cambria"/>
          <w:b/>
          <w:i/>
        </w:rPr>
        <w:t>“Meningkatkan tata pemerintahan yang baik, bersih dan professional”</w:t>
      </w:r>
      <w:r>
        <w:rPr>
          <w:rFonts w:ascii="Cambria" w:hAnsi="Cambria"/>
        </w:rPr>
        <w:t xml:space="preserve"> pada </w:t>
      </w:r>
      <w:r>
        <w:rPr>
          <w:rFonts w:ascii="Cambria" w:hAnsi="Cambria"/>
          <w:b/>
          <w:i/>
        </w:rPr>
        <w:t>Tujuan 2 “Meningkatkan Tata Pemerintahan Yang Baik, Bersih, Transparan dan Akuntabel”</w:t>
      </w:r>
      <w:r>
        <w:rPr>
          <w:rFonts w:ascii="Cambria" w:hAnsi="Cambria"/>
        </w:rPr>
        <w:t xml:space="preserve">. Sedangkan untuk pemilihan urusan, Biro Administrasi Pengadaan dan Pengelolaan Barang Milik Daerah tidak termasuk SKPD yang menyokong urusan prioritas, melainkan masuk kedalam kelompok SKPD yang menyokong urusan penunjang. </w:t>
      </w:r>
    </w:p>
    <w:p>
      <w:pPr>
        <w:spacing w:after="120" w:line="276" w:lineRule="auto"/>
        <w:ind w:firstLine="720"/>
        <w:jc w:val="both"/>
        <w:rPr>
          <w:rFonts w:ascii="Cambria" w:hAnsi="Cambria"/>
        </w:rPr>
      </w:pPr>
      <w:r>
        <w:rPr>
          <w:rFonts w:ascii="Cambria" w:hAnsi="Cambria"/>
        </w:rPr>
        <w:t>Pada Tujuan 2 ini ditetapkan Arah Kebijakan percepatan penerapan Standar Akuntansi Pemerintah berbasis Akrual, Peningkatan pengamanan dan penertiban Barang Milik Daerah serta Peningkatan kualitas proses pengadaan barang dan jasa.</w:t>
      </w:r>
    </w:p>
    <w:p>
      <w:pPr>
        <w:spacing w:after="120" w:line="276" w:lineRule="auto"/>
        <w:ind w:firstLine="720"/>
        <w:jc w:val="both"/>
        <w:rPr>
          <w:rFonts w:ascii="Cambria" w:hAnsi="Cambria"/>
        </w:rPr>
      </w:pPr>
      <w:r>
        <w:rPr>
          <w:rFonts w:ascii="Cambria" w:hAnsi="Cambria"/>
        </w:rPr>
        <w:t>Arah kebijakan pertama ditetapkan terkait keharusan Pemerintah Provinsi untuk menerapkan Standar Akuntansi berbasis akrual selambatnya untuk LKPD tahun 2015, melalui Peraturan Pemerintah Nomor 71 tahun 2010 tentang Standar Akuntansi Pemerintah. Pada penerapan Standar Akuntansi Pemerintah berbasis akrual ini, Biro Administrasi Pengadaan dan Pengelolaan Barang Milik Daerah memiliki peran penting terkait penerapan penyusutan Aset Tetap yang merupakan salah satu komponen dan persyaratan dalam akuntansi berbasis akrual.</w:t>
      </w:r>
    </w:p>
    <w:p>
      <w:pPr>
        <w:spacing w:after="120" w:line="276" w:lineRule="auto"/>
        <w:ind w:firstLine="720"/>
        <w:jc w:val="both"/>
        <w:rPr>
          <w:rFonts w:ascii="Cambria" w:hAnsi="Cambria"/>
        </w:rPr>
      </w:pPr>
      <w:r>
        <w:rPr>
          <w:rFonts w:ascii="Cambria" w:hAnsi="Cambria"/>
        </w:rPr>
        <w:t>Kebijakan kedua Peningkatan pengamanan dan penertiban Barang Milik Daerah ditetapkan karena akan menjadi focus tupoksi Biro Administrasi Pengadaan dan Pengelolaan Barang Milik Daerah dalam lima tahun kedepan. Hal ini sejalan dengan saran dari DPRD Provinsi Sumatera Barat serta BPK-RI untuk lebih meningkatkan keamanan dan penertiban Barang Milik Daerah agar tidak disalahgunakan oleh pihak lain.</w:t>
      </w:r>
    </w:p>
    <w:p>
      <w:pPr>
        <w:spacing w:after="120" w:line="276" w:lineRule="auto"/>
        <w:ind w:firstLine="720"/>
        <w:jc w:val="both"/>
        <w:rPr>
          <w:rFonts w:ascii="Cambria" w:hAnsi="Cambria"/>
        </w:rPr>
      </w:pPr>
      <w:r>
        <w:rPr>
          <w:rFonts w:ascii="Cambria" w:hAnsi="Cambria"/>
        </w:rPr>
        <w:t>Arah kebijakan ketiga Peningkatan kualitas proses pengadaan barang dan jasa, terkait dengan fungsi ULP Provinsi Sumatera Barat yang hingga saat ini masih melekat secara ad-hoc pada salah satu Eselon III di Biro Administrasi Pengadaan dan Pengelolaan Barang Milik Daerah.</w:t>
      </w:r>
    </w:p>
    <w:p>
      <w:pPr>
        <w:pStyle w:val="15"/>
        <w:spacing w:after="0" w:line="276" w:lineRule="auto"/>
        <w:ind w:left="0" w:firstLine="567"/>
        <w:jc w:val="both"/>
        <w:rPr>
          <w:rFonts w:ascii="Cambria" w:hAnsi="Cambria" w:cs="Tahoma"/>
        </w:rPr>
      </w:pPr>
      <w:r>
        <w:rPr>
          <w:rFonts w:ascii="Cambria" w:hAnsi="Cambria" w:cs="Tahoma"/>
        </w:rPr>
        <w:t>Dalam upaya mewujudkan Misi ke 2 (dua) tersebut, maka program pembangunan khusus urusan pilihan yang akan dilakukan adalah sebagai berikut:</w:t>
      </w:r>
    </w:p>
    <w:p>
      <w:pPr>
        <w:pStyle w:val="15"/>
        <w:numPr>
          <w:ilvl w:val="0"/>
          <w:numId w:val="4"/>
        </w:numPr>
        <w:tabs>
          <w:tab w:val="left" w:pos="540"/>
        </w:tabs>
        <w:spacing w:after="0" w:line="276" w:lineRule="auto"/>
        <w:ind w:left="540" w:hanging="540"/>
        <w:jc w:val="both"/>
        <w:rPr>
          <w:rFonts w:ascii="Cambria" w:hAnsi="Cambria" w:cs="Tahoma"/>
        </w:rPr>
      </w:pPr>
      <w:r>
        <w:rPr>
          <w:rFonts w:ascii="Cambria" w:hAnsi="Cambria" w:cs="Tahoma"/>
        </w:rPr>
        <w:t>Program Pengembangan Manajemen Pelayanan Publik.</w:t>
      </w:r>
    </w:p>
    <w:p>
      <w:pPr>
        <w:pStyle w:val="15"/>
        <w:numPr>
          <w:ilvl w:val="0"/>
          <w:numId w:val="4"/>
        </w:numPr>
        <w:tabs>
          <w:tab w:val="left" w:pos="540"/>
        </w:tabs>
        <w:spacing w:after="0" w:line="276" w:lineRule="auto"/>
        <w:ind w:left="540" w:hanging="540"/>
        <w:jc w:val="both"/>
        <w:rPr>
          <w:rFonts w:ascii="Cambria" w:hAnsi="Cambria" w:cs="Tahoma"/>
        </w:rPr>
      </w:pPr>
      <w:r>
        <w:rPr>
          <w:rFonts w:ascii="Cambria" w:hAnsi="Cambria" w:cs="Tahoma"/>
        </w:rPr>
        <w:t>Program Peningkatan Manajemen Penyelenggaraan Pemerintah Daerah.</w:t>
      </w:r>
    </w:p>
    <w:p>
      <w:pPr>
        <w:pStyle w:val="15"/>
        <w:numPr>
          <w:ilvl w:val="0"/>
          <w:numId w:val="4"/>
        </w:numPr>
        <w:tabs>
          <w:tab w:val="left" w:pos="540"/>
        </w:tabs>
        <w:spacing w:after="0" w:line="276" w:lineRule="auto"/>
        <w:ind w:left="540" w:hanging="540"/>
        <w:jc w:val="both"/>
        <w:rPr>
          <w:rFonts w:ascii="Cambria" w:hAnsi="Cambria"/>
        </w:rPr>
      </w:pPr>
      <w:r>
        <w:rPr>
          <w:rFonts w:ascii="Cambria" w:hAnsi="Cambria" w:cs="Tahoma"/>
        </w:rPr>
        <w:t>Program Peningkatan Kinerja Perangkat Daerah dan Ketatalaksanaan Pemerintah Daerah.</w:t>
      </w:r>
    </w:p>
    <w:p>
      <w:pPr>
        <w:pStyle w:val="15"/>
        <w:tabs>
          <w:tab w:val="left" w:pos="540"/>
        </w:tabs>
        <w:spacing w:after="0" w:line="276" w:lineRule="auto"/>
        <w:ind w:left="540"/>
        <w:jc w:val="both"/>
        <w:rPr>
          <w:rFonts w:ascii="Cambria" w:hAnsi="Cambria"/>
        </w:rPr>
      </w:pPr>
    </w:p>
    <w:p>
      <w:pPr>
        <w:pStyle w:val="15"/>
        <w:spacing w:after="0" w:line="276" w:lineRule="auto"/>
        <w:ind w:left="0" w:firstLine="540"/>
        <w:jc w:val="both"/>
        <w:rPr>
          <w:rFonts w:ascii="Cambria" w:hAnsi="Cambria" w:cs="Tahoma"/>
        </w:rPr>
      </w:pPr>
      <w:r>
        <w:rPr>
          <w:rFonts w:ascii="Cambria" w:hAnsi="Cambria" w:cs="Tahoma"/>
        </w:rPr>
        <w:t>Untuk mendukung visi, misi dan program Gubernur tersebut, maka tugas dan fungsi Biro Administrasi Pengadaan dan Pengelolaan Barang Milik Daerah Provinsi Sumatera Barat yang terkait dengan hal dimaksud adalah melaksanakan urusan penunjang pemerintahan daerah dengan fungsi :</w:t>
      </w:r>
    </w:p>
    <w:p>
      <w:pPr>
        <w:pStyle w:val="15"/>
        <w:numPr>
          <w:ilvl w:val="0"/>
          <w:numId w:val="5"/>
        </w:numPr>
        <w:tabs>
          <w:tab w:val="left" w:pos="540"/>
        </w:tabs>
        <w:spacing w:after="0" w:line="276" w:lineRule="auto"/>
        <w:ind w:left="540" w:hanging="540"/>
        <w:jc w:val="both"/>
        <w:rPr>
          <w:rFonts w:ascii="Cambria" w:hAnsi="Cambria" w:cs="Tahoma"/>
        </w:rPr>
      </w:pPr>
      <w:r>
        <w:rPr>
          <w:rFonts w:ascii="Cambria" w:hAnsi="Cambria"/>
        </w:rPr>
        <w:t>Perumusan kebijakan umum pembinaan aset, pengelolaan aset, pengamanan aset dan pemeliharaan aset ;</w:t>
      </w:r>
    </w:p>
    <w:p>
      <w:pPr>
        <w:pStyle w:val="15"/>
        <w:numPr>
          <w:ilvl w:val="0"/>
          <w:numId w:val="5"/>
        </w:numPr>
        <w:tabs>
          <w:tab w:val="left" w:pos="540"/>
        </w:tabs>
        <w:spacing w:after="0" w:line="276" w:lineRule="auto"/>
        <w:ind w:left="540" w:hanging="540"/>
        <w:jc w:val="both"/>
        <w:rPr>
          <w:rFonts w:ascii="Cambria" w:hAnsi="Cambria" w:cs="Tahoma"/>
        </w:rPr>
      </w:pPr>
      <w:r>
        <w:rPr>
          <w:rFonts w:ascii="Cambria" w:hAnsi="Cambria" w:cs="Tahoma"/>
        </w:rPr>
        <w:t xml:space="preserve">Penyelenggaraan koordinasi dan fasilitasi </w:t>
      </w:r>
      <w:r>
        <w:rPr>
          <w:rFonts w:ascii="Cambria" w:hAnsi="Cambria"/>
        </w:rPr>
        <w:t>pembinaan aset, pengelolaan aset, pengamanan aset dan pemeliharaan aset ;</w:t>
      </w:r>
    </w:p>
    <w:p>
      <w:pPr>
        <w:pStyle w:val="15"/>
        <w:numPr>
          <w:ilvl w:val="0"/>
          <w:numId w:val="5"/>
        </w:numPr>
        <w:tabs>
          <w:tab w:val="left" w:pos="540"/>
        </w:tabs>
        <w:spacing w:after="0" w:line="276" w:lineRule="auto"/>
        <w:ind w:left="540" w:hanging="540"/>
        <w:jc w:val="both"/>
        <w:rPr>
          <w:rFonts w:ascii="Cambria" w:hAnsi="Cambria" w:cs="Tahoma"/>
        </w:rPr>
      </w:pPr>
      <w:r>
        <w:rPr>
          <w:rFonts w:ascii="Cambria" w:hAnsi="Cambria" w:cs="Tahoma"/>
        </w:rPr>
        <w:t xml:space="preserve">Penyelenggaraan pelaporan dan evaluasi </w:t>
      </w:r>
      <w:r>
        <w:rPr>
          <w:rFonts w:ascii="Cambria" w:hAnsi="Cambria"/>
        </w:rPr>
        <w:t>pembinaan aset, pengelolaan aset, pengamanan aset dan pemeliharaan aset ;</w:t>
      </w:r>
    </w:p>
    <w:p>
      <w:pPr>
        <w:pStyle w:val="15"/>
        <w:numPr>
          <w:ilvl w:val="0"/>
          <w:numId w:val="5"/>
        </w:numPr>
        <w:tabs>
          <w:tab w:val="left" w:pos="540"/>
        </w:tabs>
        <w:spacing w:after="0" w:line="276" w:lineRule="auto"/>
        <w:ind w:left="540" w:hanging="540"/>
        <w:jc w:val="both"/>
        <w:rPr>
          <w:rFonts w:ascii="Cambria" w:hAnsi="Cambria" w:cs="Tahoma"/>
        </w:rPr>
      </w:pPr>
      <w:r>
        <w:rPr>
          <w:rFonts w:ascii="Cambria" w:hAnsi="Cambria" w:cs="Tahoma"/>
        </w:rPr>
        <w:t xml:space="preserve">Pelaksanaan tugas lain yang diberikan oleh pimpinan. </w:t>
      </w:r>
    </w:p>
    <w:p>
      <w:pPr>
        <w:pStyle w:val="15"/>
        <w:tabs>
          <w:tab w:val="left" w:pos="540"/>
        </w:tabs>
        <w:spacing w:after="0" w:line="276" w:lineRule="auto"/>
        <w:ind w:left="0"/>
        <w:jc w:val="both"/>
        <w:rPr>
          <w:rFonts w:ascii="Cambria" w:hAnsi="Cambria" w:cs="Tahoma"/>
        </w:rPr>
      </w:pPr>
    </w:p>
    <w:p>
      <w:pPr>
        <w:pStyle w:val="15"/>
        <w:tabs>
          <w:tab w:val="left" w:pos="540"/>
        </w:tabs>
        <w:spacing w:after="0" w:line="276" w:lineRule="auto"/>
        <w:ind w:left="0" w:firstLine="540"/>
        <w:jc w:val="both"/>
        <w:rPr>
          <w:rFonts w:ascii="Cambria" w:hAnsi="Cambria" w:cs="Tahoma"/>
        </w:rPr>
      </w:pPr>
      <w:r>
        <w:rPr>
          <w:rFonts w:ascii="Cambria" w:hAnsi="Cambria" w:cs="Tahoma"/>
        </w:rPr>
        <w:t>Sesuai dengan tugas dan fungsi tersebut, maka Biro Administrasi Pengadaan dan Pengelolaan Barang Milik Daerah Provinsi Sumatera Barat dalam lima tahun kedepan berusaha mendukung pencapaian visi dan misi Gubernur Sumatera Barat. Dalam mendukung pencapaian visi dan misi gubernur, akan ditemui faktor-faktor penghambat serta faktor-faktor pendorong yang akan mempengaruhinya sebagaimana terlihat pada tabel berikut:</w:t>
      </w:r>
    </w:p>
    <w:p>
      <w:pPr>
        <w:pStyle w:val="15"/>
        <w:tabs>
          <w:tab w:val="left" w:pos="540"/>
        </w:tabs>
        <w:spacing w:after="0" w:line="276" w:lineRule="auto"/>
        <w:ind w:left="0"/>
        <w:jc w:val="both"/>
        <w:rPr>
          <w:rFonts w:ascii="Cambria" w:hAnsi="Cambria" w:cs="Tahoma"/>
        </w:rPr>
      </w:pPr>
    </w:p>
    <w:p>
      <w:pPr>
        <w:spacing w:after="0" w:line="276" w:lineRule="auto"/>
        <w:ind w:left="1080" w:hanging="1080"/>
        <w:jc w:val="center"/>
        <w:rPr>
          <w:rFonts w:ascii="Cambria" w:hAnsi="Cambria" w:cs="Tahoma"/>
          <w:b/>
        </w:rPr>
      </w:pPr>
    </w:p>
    <w:p>
      <w:pPr>
        <w:spacing w:after="0" w:line="276" w:lineRule="auto"/>
        <w:ind w:left="1080" w:hanging="1080"/>
        <w:jc w:val="center"/>
        <w:rPr>
          <w:rFonts w:ascii="Cambria" w:hAnsi="Cambria" w:cs="Tahoma"/>
          <w:b/>
        </w:rPr>
      </w:pPr>
    </w:p>
    <w:p>
      <w:pPr>
        <w:spacing w:after="0" w:line="276" w:lineRule="auto"/>
        <w:ind w:left="1080" w:hanging="1080"/>
        <w:jc w:val="center"/>
        <w:rPr>
          <w:rFonts w:ascii="Cambria" w:hAnsi="Cambria" w:cs="Tahoma"/>
          <w:b/>
        </w:rPr>
      </w:pPr>
    </w:p>
    <w:p>
      <w:pPr>
        <w:spacing w:after="0" w:line="276" w:lineRule="auto"/>
        <w:ind w:left="1080" w:hanging="1080"/>
        <w:jc w:val="center"/>
        <w:rPr>
          <w:rFonts w:ascii="Cambria" w:hAnsi="Cambria" w:cs="Tahoma"/>
          <w:b/>
        </w:rPr>
      </w:pPr>
    </w:p>
    <w:p>
      <w:pPr>
        <w:spacing w:after="0" w:line="276" w:lineRule="auto"/>
        <w:ind w:left="1080" w:hanging="1080"/>
        <w:jc w:val="center"/>
        <w:rPr>
          <w:rFonts w:ascii="Cambria" w:hAnsi="Cambria" w:cs="Tahoma"/>
          <w:b/>
        </w:rPr>
      </w:pPr>
    </w:p>
    <w:p>
      <w:pPr>
        <w:spacing w:after="0" w:line="276" w:lineRule="auto"/>
        <w:ind w:left="1080" w:hanging="1080"/>
        <w:jc w:val="center"/>
        <w:rPr>
          <w:rFonts w:ascii="Cambria" w:hAnsi="Cambria" w:cs="Tahoma"/>
          <w:b/>
        </w:rPr>
      </w:pPr>
    </w:p>
    <w:p>
      <w:pPr>
        <w:spacing w:after="0" w:line="276" w:lineRule="auto"/>
        <w:ind w:left="1080" w:hanging="1080"/>
        <w:jc w:val="center"/>
        <w:rPr>
          <w:rFonts w:ascii="Cambria" w:hAnsi="Cambria" w:cs="Tahoma"/>
          <w:b/>
        </w:rPr>
      </w:pPr>
      <w:r>
        <w:rPr>
          <w:rFonts w:ascii="Cambria" w:hAnsi="Cambria" w:cs="Tahoma"/>
          <w:b/>
        </w:rPr>
        <w:t>Tabel 3.2</w:t>
      </w:r>
    </w:p>
    <w:p>
      <w:pPr>
        <w:spacing w:after="0" w:line="276" w:lineRule="auto"/>
        <w:ind w:left="1080" w:hanging="1080"/>
        <w:jc w:val="center"/>
        <w:rPr>
          <w:rFonts w:ascii="Cambria" w:hAnsi="Cambria" w:cs="Tahoma"/>
          <w:b/>
        </w:rPr>
      </w:pPr>
      <w:r>
        <w:rPr>
          <w:rFonts w:ascii="Cambria" w:hAnsi="Cambria" w:cs="Tahoma"/>
          <w:b/>
        </w:rPr>
        <w:t xml:space="preserve">Faktor Penghambat dan Pendorong Terhadap </w:t>
      </w:r>
    </w:p>
    <w:p>
      <w:pPr>
        <w:spacing w:after="0" w:line="276" w:lineRule="auto"/>
        <w:ind w:left="1080" w:hanging="1080"/>
        <w:jc w:val="center"/>
        <w:rPr>
          <w:rFonts w:ascii="Cambria" w:hAnsi="Cambria" w:cs="Tahoma"/>
          <w:b/>
        </w:rPr>
      </w:pPr>
      <w:r>
        <w:rPr>
          <w:rFonts w:ascii="Cambria" w:hAnsi="Cambria" w:cs="Tahoma"/>
          <w:b/>
        </w:rPr>
        <w:t xml:space="preserve">Pencapaian Visi, Misi dan Program Gubernur dan Wakil Gubernur </w:t>
      </w:r>
    </w:p>
    <w:p>
      <w:pPr>
        <w:spacing w:after="0" w:line="276" w:lineRule="auto"/>
        <w:ind w:left="1080" w:hanging="1080"/>
        <w:jc w:val="center"/>
        <w:rPr>
          <w:rFonts w:ascii="Cambria" w:hAnsi="Cambria" w:cs="Tahoma"/>
          <w:b/>
        </w:rPr>
      </w:pPr>
      <w:r>
        <w:rPr>
          <w:rFonts w:ascii="Cambria" w:hAnsi="Cambria" w:cs="Tahoma"/>
          <w:b/>
        </w:rPr>
        <w:t>Provinsi Sumatera Barat</w:t>
      </w:r>
    </w:p>
    <w:p>
      <w:pPr>
        <w:spacing w:after="0" w:line="276" w:lineRule="auto"/>
        <w:ind w:left="1080" w:hanging="1080"/>
        <w:jc w:val="center"/>
        <w:rPr>
          <w:rFonts w:ascii="Cambria" w:hAnsi="Cambria" w:cs="Tahoma"/>
          <w:b/>
        </w:rPr>
      </w:pPr>
    </w:p>
    <w:p>
      <w:pPr>
        <w:spacing w:line="276" w:lineRule="auto"/>
        <w:ind w:left="1077" w:hanging="627"/>
        <w:rPr>
          <w:rFonts w:ascii="Cambria" w:hAnsi="Cambria" w:cs="Tahoma"/>
        </w:rPr>
      </w:pPr>
      <w:r>
        <w:rPr>
          <w:rFonts w:ascii="Cambria" w:hAnsi="Cambria" w:cs="Tahoma"/>
          <w:b/>
        </w:rPr>
        <w:object>
          <v:shape id="_x0000_i1025" o:spt="75" alt="" type="#_x0000_t75" style="height:360.85pt;width:400.75pt;" o:ole="t" filled="f" o:preferrelative="t" stroked="f" coordsize="21600,21600">
            <v:path/>
            <v:fill on="f" focussize="0,0"/>
            <v:stroke on="f"/>
            <v:imagedata r:id="rId11" o:title=""/>
            <o:lock v:ext="edit" aspectratio="t"/>
            <w10:wrap type="none"/>
            <w10:anchorlock/>
          </v:shape>
          <o:OLEObject Type="Embed" ProgID="Excel.Sheet.8" ShapeID="_x0000_i1025" DrawAspect="Content" ObjectID="_1468075726" r:id="rId10">
            <o:LockedField>false</o:LockedField>
          </o:OLEObject>
        </w:object>
      </w:r>
    </w:p>
    <w:p>
      <w:pPr>
        <w:spacing w:line="276" w:lineRule="auto"/>
        <w:jc w:val="both"/>
        <w:rPr>
          <w:rFonts w:ascii="Cambria" w:hAnsi="Cambria"/>
          <w:b/>
          <w:bCs/>
        </w:rPr>
      </w:pPr>
      <w:r>
        <w:rPr>
          <w:rFonts w:ascii="Cambria" w:hAnsi="Cambria"/>
          <w:b/>
          <w:bCs/>
        </w:rPr>
        <w:t xml:space="preserve">3.3. </w:t>
      </w:r>
      <w:r>
        <w:rPr>
          <w:rFonts w:ascii="Cambria" w:hAnsi="Cambria"/>
          <w:b/>
        </w:rPr>
        <w:t xml:space="preserve">Telaahan </w:t>
      </w:r>
      <w:r>
        <w:rPr>
          <w:rFonts w:ascii="Cambria" w:hAnsi="Cambria"/>
          <w:b/>
          <w:bCs/>
        </w:rPr>
        <w:t>Renstra Kementerian/Lembaga dan Renstra Kabupaten/Kota</w:t>
      </w:r>
    </w:p>
    <w:p>
      <w:pPr>
        <w:tabs>
          <w:tab w:val="left" w:pos="0"/>
        </w:tabs>
        <w:spacing w:line="276" w:lineRule="auto"/>
        <w:ind w:firstLine="567"/>
        <w:jc w:val="both"/>
        <w:rPr>
          <w:rFonts w:ascii="Cambria" w:hAnsi="Cambria" w:cs="Tahoma"/>
        </w:rPr>
      </w:pPr>
      <w:r>
        <w:rPr>
          <w:rFonts w:ascii="Cambria" w:hAnsi="Cambria" w:cs="Tahoma"/>
        </w:rPr>
        <w:tab/>
      </w:r>
      <w:r>
        <w:rPr>
          <w:rFonts w:ascii="Cambria" w:hAnsi="Cambria" w:cs="Tahoma"/>
        </w:rPr>
        <w:t xml:space="preserve">Analisis Renstra K/L ditujukan untuk menilai keserasian, keterpaduan, sinkronisasi, dan sinergitas pencapaian sasaran pelaksanaan Renstra SKPD Provinsi terhadap sasaran Renstra K/L serta untuk mengidentifikasi apakah capaian sasaran pelaksanaan Renstra SKPD Provinsi telah berkontribusi terhadap pencapaian sasaran Renstra Renstra K/L. Kementerian/Lembaga yang terkait dengan Biro Administrasi Pengadaan dan Pengelolaan Barang Milik Daerah Provinsi Sumatera Barat adalah Kementerian Dalam Negeri khususnya Direktorat Jenderal Bina Keuangan Daerah. </w:t>
      </w:r>
    </w:p>
    <w:p>
      <w:pPr>
        <w:pStyle w:val="15"/>
        <w:numPr>
          <w:ilvl w:val="0"/>
          <w:numId w:val="6"/>
        </w:numPr>
        <w:tabs>
          <w:tab w:val="left" w:pos="720"/>
        </w:tabs>
        <w:spacing w:after="0" w:line="276" w:lineRule="auto"/>
        <w:contextualSpacing w:val="0"/>
        <w:jc w:val="both"/>
        <w:rPr>
          <w:rFonts w:ascii="Cambria" w:hAnsi="Cambria" w:cs="Tahoma"/>
          <w:b/>
          <w:vanish/>
        </w:rPr>
      </w:pPr>
    </w:p>
    <w:p>
      <w:pPr>
        <w:pStyle w:val="15"/>
        <w:numPr>
          <w:ilvl w:val="1"/>
          <w:numId w:val="6"/>
        </w:numPr>
        <w:tabs>
          <w:tab w:val="left" w:pos="720"/>
        </w:tabs>
        <w:spacing w:after="0" w:line="276" w:lineRule="auto"/>
        <w:contextualSpacing w:val="0"/>
        <w:jc w:val="both"/>
        <w:rPr>
          <w:rFonts w:ascii="Cambria" w:hAnsi="Cambria" w:cs="Tahoma"/>
          <w:b/>
          <w:vanish/>
        </w:rPr>
      </w:pPr>
    </w:p>
    <w:p>
      <w:pPr>
        <w:pStyle w:val="15"/>
        <w:numPr>
          <w:ilvl w:val="1"/>
          <w:numId w:val="6"/>
        </w:numPr>
        <w:tabs>
          <w:tab w:val="left" w:pos="720"/>
        </w:tabs>
        <w:spacing w:after="0" w:line="276" w:lineRule="auto"/>
        <w:contextualSpacing w:val="0"/>
        <w:jc w:val="both"/>
        <w:rPr>
          <w:rFonts w:ascii="Cambria" w:hAnsi="Cambria" w:cs="Tahoma"/>
          <w:b/>
          <w:vanish/>
        </w:rPr>
      </w:pPr>
    </w:p>
    <w:p>
      <w:pPr>
        <w:pStyle w:val="15"/>
        <w:numPr>
          <w:ilvl w:val="1"/>
          <w:numId w:val="6"/>
        </w:numPr>
        <w:tabs>
          <w:tab w:val="left" w:pos="720"/>
        </w:tabs>
        <w:spacing w:after="0" w:line="276" w:lineRule="auto"/>
        <w:contextualSpacing w:val="0"/>
        <w:jc w:val="both"/>
        <w:rPr>
          <w:rFonts w:ascii="Cambria" w:hAnsi="Cambria" w:cs="Tahoma"/>
          <w:b/>
          <w:vanish/>
        </w:rPr>
      </w:pPr>
    </w:p>
    <w:p>
      <w:pPr>
        <w:numPr>
          <w:ilvl w:val="2"/>
          <w:numId w:val="6"/>
        </w:numPr>
        <w:tabs>
          <w:tab w:val="left" w:pos="720"/>
        </w:tabs>
        <w:spacing w:after="0" w:line="276" w:lineRule="auto"/>
        <w:ind w:left="720"/>
        <w:jc w:val="both"/>
        <w:rPr>
          <w:rFonts w:ascii="Cambria" w:hAnsi="Cambria" w:cs="Tahoma"/>
          <w:b/>
        </w:rPr>
      </w:pPr>
      <w:r>
        <w:rPr>
          <w:rFonts w:ascii="Cambria" w:hAnsi="Cambria" w:cs="Tahoma"/>
          <w:b/>
        </w:rPr>
        <w:t>Renstra Kementerian Dalam Negeri RI Tahun 2015-2019</w:t>
      </w:r>
    </w:p>
    <w:p>
      <w:pPr>
        <w:pStyle w:val="5"/>
        <w:spacing w:line="276" w:lineRule="auto"/>
        <w:ind w:firstLine="567"/>
        <w:jc w:val="both"/>
        <w:rPr>
          <w:rFonts w:ascii="Cambria" w:hAnsi="Cambria" w:cs="Tahoma"/>
          <w:sz w:val="10"/>
          <w:szCs w:val="10"/>
        </w:rPr>
      </w:pPr>
    </w:p>
    <w:p>
      <w:pPr>
        <w:pStyle w:val="5"/>
        <w:spacing w:line="276" w:lineRule="auto"/>
        <w:ind w:firstLine="567"/>
        <w:jc w:val="both"/>
        <w:rPr>
          <w:rFonts w:ascii="Cambria" w:hAnsi="Cambria" w:cs="Tahoma"/>
          <w:sz w:val="22"/>
          <w:szCs w:val="22"/>
        </w:rPr>
      </w:pPr>
      <w:r>
        <w:rPr>
          <w:rFonts w:ascii="Cambria" w:hAnsi="Cambria" w:cs="Tahoma"/>
          <w:sz w:val="22"/>
          <w:szCs w:val="22"/>
        </w:rPr>
        <w:tab/>
      </w:r>
      <w:r>
        <w:rPr>
          <w:rFonts w:ascii="Cambria" w:hAnsi="Cambria" w:cs="Tahoma"/>
          <w:sz w:val="22"/>
          <w:szCs w:val="22"/>
        </w:rPr>
        <w:t>Dalam rangka mendukung pencapaian visi, misi, sasaran dan target pembangunan nasional sebagaimana diamanatkan dalam RPJMN 2015-2019, serta mendukung pencapaian tujuan berbangsa dan bernegara sesuai dengan amanat UUD 1945, yaitu mewujudkan masyarakat Indonesia yang adil dan makmur, Kementerian Dalam Negeri RI merumuskan visi tahun 2015-2019 yaitu:</w:t>
      </w:r>
    </w:p>
    <w:p>
      <w:pPr>
        <w:pStyle w:val="5"/>
        <w:spacing w:line="276" w:lineRule="auto"/>
        <w:jc w:val="both"/>
        <w:rPr>
          <w:rFonts w:ascii="Cambria" w:hAnsi="Cambria" w:cs="Tahoma"/>
          <w:b/>
          <w:i/>
          <w:sz w:val="22"/>
          <w:szCs w:val="22"/>
        </w:rPr>
      </w:pPr>
      <w:r>
        <w:rPr>
          <w:rFonts w:ascii="Cambria" w:hAnsi="Cambria" w:cs="Tahoma"/>
          <w:b/>
          <w:sz w:val="22"/>
          <w:szCs w:val="22"/>
          <w:lang w:val="en-US"/>
        </w:rPr>
        <w:t>“</w:t>
      </w:r>
      <w:r>
        <w:rPr>
          <w:rFonts w:ascii="Cambria" w:hAnsi="Cambria" w:cs="Tahoma"/>
          <w:b/>
          <w:i/>
          <w:sz w:val="22"/>
          <w:szCs w:val="22"/>
          <w:lang w:eastAsia="id-ID"/>
        </w:rPr>
        <w:t>Kementerian</w:t>
      </w:r>
      <w:r>
        <w:rPr>
          <w:rFonts w:ascii="Cambria" w:hAnsi="Cambria" w:cs="Tahoma"/>
          <w:b/>
          <w:i/>
          <w:sz w:val="22"/>
          <w:szCs w:val="22"/>
        </w:rPr>
        <w:t xml:space="preserve"> Dalam Negeri Mampu Menjadi POROS Jalannya Pemerintahan </w:t>
      </w:r>
      <w:r>
        <w:rPr>
          <w:rFonts w:ascii="Cambria" w:hAnsi="Cambria" w:cs="Tahoma"/>
          <w:b/>
          <w:i/>
          <w:sz w:val="22"/>
          <w:szCs w:val="22"/>
          <w:lang w:val="en-US"/>
        </w:rPr>
        <w:t xml:space="preserve">dan Politik </w:t>
      </w:r>
      <w:r>
        <w:rPr>
          <w:rFonts w:ascii="Cambria" w:hAnsi="Cambria" w:cs="Tahoma"/>
          <w:b/>
          <w:i/>
          <w:sz w:val="22"/>
          <w:szCs w:val="22"/>
        </w:rPr>
        <w:t>Dalam Negeri, Meningkatkan Pelayanan Publik, Menegakkan Demokrasi Dan Menjaga Integr</w:t>
      </w:r>
      <w:r>
        <w:rPr>
          <w:rFonts w:ascii="Cambria" w:hAnsi="Cambria" w:cs="Tahoma"/>
          <w:b/>
          <w:i/>
          <w:sz w:val="22"/>
          <w:szCs w:val="22"/>
          <w:lang w:val="en-US"/>
        </w:rPr>
        <w:t>asi</w:t>
      </w:r>
      <w:r>
        <w:rPr>
          <w:rFonts w:ascii="Cambria" w:hAnsi="Cambria" w:cs="Tahoma"/>
          <w:b/>
          <w:i/>
          <w:sz w:val="22"/>
          <w:szCs w:val="22"/>
        </w:rPr>
        <w:t xml:space="preserve"> Bangsa”</w:t>
      </w:r>
    </w:p>
    <w:p>
      <w:pPr>
        <w:autoSpaceDE w:val="0"/>
        <w:autoSpaceDN w:val="0"/>
        <w:adjustRightInd w:val="0"/>
        <w:spacing w:line="276" w:lineRule="auto"/>
        <w:ind w:firstLine="720"/>
        <w:jc w:val="both"/>
        <w:rPr>
          <w:rFonts w:ascii="Cambria" w:hAnsi="Cambria" w:cs="Tahoma"/>
          <w:sz w:val="10"/>
          <w:szCs w:val="10"/>
        </w:rPr>
      </w:pPr>
    </w:p>
    <w:p>
      <w:pPr>
        <w:autoSpaceDE w:val="0"/>
        <w:autoSpaceDN w:val="0"/>
        <w:adjustRightInd w:val="0"/>
        <w:spacing w:line="276" w:lineRule="auto"/>
        <w:ind w:firstLine="720"/>
        <w:jc w:val="both"/>
        <w:rPr>
          <w:rFonts w:ascii="Cambria" w:hAnsi="Cambria" w:cs="Tahoma"/>
        </w:rPr>
      </w:pPr>
      <w:r>
        <w:rPr>
          <w:rFonts w:ascii="Cambria" w:hAnsi="Cambria" w:cs="Tahoma"/>
        </w:rPr>
        <w:t>Untuk mewujudkan visi tersebut di atas, diperlukan tindakan nyata dalam bentuk 6 (enam) misi sesuai dengan tugas dan fungsi Kementerian Dalam Negeri sebagai berikut :</w:t>
      </w:r>
    </w:p>
    <w:p>
      <w:pPr>
        <w:pStyle w:val="5"/>
        <w:numPr>
          <w:ilvl w:val="0"/>
          <w:numId w:val="7"/>
        </w:numPr>
        <w:spacing w:line="276" w:lineRule="auto"/>
        <w:ind w:left="720"/>
        <w:jc w:val="both"/>
        <w:rPr>
          <w:rFonts w:ascii="Cambria" w:hAnsi="Cambria" w:cs="Tahoma"/>
          <w:sz w:val="22"/>
          <w:szCs w:val="22"/>
        </w:rPr>
      </w:pPr>
      <w:r>
        <w:rPr>
          <w:rFonts w:ascii="Cambria" w:hAnsi="Cambria" w:cs="Tahoma"/>
          <w:sz w:val="22"/>
          <w:szCs w:val="22"/>
        </w:rPr>
        <w:t>Memantapkan ideologi dan wawasan kebangsaan dengan memperkuat pengamalan terhadap Pancasila, UUD 1945, kebhinekaan, menegakkan persatuan dan kesatuan, demokratisasi, serta membangun karakter bangsa dan stabilitas dalam negeri.</w:t>
      </w:r>
    </w:p>
    <w:p>
      <w:pPr>
        <w:pStyle w:val="5"/>
        <w:numPr>
          <w:ilvl w:val="0"/>
          <w:numId w:val="7"/>
        </w:numPr>
        <w:spacing w:line="276" w:lineRule="auto"/>
        <w:ind w:left="720"/>
        <w:jc w:val="both"/>
        <w:rPr>
          <w:rFonts w:ascii="Cambria" w:hAnsi="Cambria" w:cs="Tahoma"/>
          <w:sz w:val="22"/>
          <w:szCs w:val="22"/>
        </w:rPr>
      </w:pPr>
      <w:r>
        <w:rPr>
          <w:rFonts w:ascii="Cambria" w:hAnsi="Cambria" w:cs="Tahoma"/>
          <w:sz w:val="22"/>
          <w:szCs w:val="22"/>
        </w:rPr>
        <w:t>Mewujudkan efektivitas penyelenggaraan tugas-tugas pemerintahan umum melalui harmonisasi hubungan pusat-daerah, menciptakan ketentraman</w:t>
      </w:r>
      <w:r>
        <w:rPr>
          <w:rFonts w:ascii="Cambria" w:hAnsi="Cambria" w:cs="Tahoma"/>
          <w:sz w:val="22"/>
          <w:szCs w:val="22"/>
          <w:lang w:val="en-US"/>
        </w:rPr>
        <w:t>,</w:t>
      </w:r>
      <w:r>
        <w:rPr>
          <w:rFonts w:ascii="Cambria" w:hAnsi="Cambria" w:cs="Tahoma"/>
          <w:sz w:val="22"/>
          <w:szCs w:val="22"/>
        </w:rPr>
        <w:t xml:space="preserve"> dan ketertiban umum, serta meningkatkan pendayagunaan administrasi kependudukan.</w:t>
      </w:r>
    </w:p>
    <w:p>
      <w:pPr>
        <w:pStyle w:val="5"/>
        <w:numPr>
          <w:ilvl w:val="0"/>
          <w:numId w:val="7"/>
        </w:numPr>
        <w:spacing w:line="276" w:lineRule="auto"/>
        <w:ind w:left="720"/>
        <w:jc w:val="both"/>
        <w:rPr>
          <w:rFonts w:ascii="Cambria" w:hAnsi="Cambria" w:cs="Tahoma"/>
          <w:sz w:val="22"/>
          <w:szCs w:val="22"/>
        </w:rPr>
      </w:pPr>
      <w:r>
        <w:rPr>
          <w:rFonts w:ascii="Cambria" w:hAnsi="Cambria" w:cs="Tahoma"/>
          <w:sz w:val="22"/>
          <w:szCs w:val="22"/>
        </w:rPr>
        <w:t>Mewujudkan efektivitas penyelenggaraan desentralisasi dan otonomi daerah melalui peningkatan kapasitas dalam menyelenggarakan urusan pemerintahan serta didukung pengelolaan anggaran dan keuangan yang akuntabel dan berpihak kepada rakyat.</w:t>
      </w:r>
    </w:p>
    <w:p>
      <w:pPr>
        <w:pStyle w:val="5"/>
        <w:numPr>
          <w:ilvl w:val="0"/>
          <w:numId w:val="7"/>
        </w:numPr>
        <w:spacing w:line="276" w:lineRule="auto"/>
        <w:ind w:left="720"/>
        <w:jc w:val="both"/>
        <w:rPr>
          <w:rFonts w:ascii="Cambria" w:hAnsi="Cambria" w:cs="Tahoma"/>
          <w:sz w:val="22"/>
          <w:szCs w:val="22"/>
        </w:rPr>
      </w:pPr>
      <w:r>
        <w:rPr>
          <w:rFonts w:ascii="Cambria" w:hAnsi="Cambria" w:cs="Tahoma"/>
          <w:sz w:val="22"/>
          <w:szCs w:val="22"/>
        </w:rPr>
        <w:t>Mendorong terwujudnya keserasian dan keadilan pembangunan antar wilayah dan daerah melalui pembangunan dari pinggiran dengan memperkuat daerah dan desa serta perbatasan.</w:t>
      </w:r>
    </w:p>
    <w:p>
      <w:pPr>
        <w:pStyle w:val="5"/>
        <w:numPr>
          <w:ilvl w:val="0"/>
          <w:numId w:val="7"/>
        </w:numPr>
        <w:spacing w:line="276" w:lineRule="auto"/>
        <w:ind w:left="720"/>
        <w:jc w:val="both"/>
        <w:rPr>
          <w:rFonts w:ascii="Cambria" w:hAnsi="Cambria" w:cs="Tahoma"/>
          <w:sz w:val="22"/>
          <w:szCs w:val="22"/>
        </w:rPr>
      </w:pPr>
      <w:r>
        <w:rPr>
          <w:rFonts w:ascii="Cambria" w:hAnsi="Cambria" w:cs="Tahoma"/>
          <w:sz w:val="22"/>
          <w:szCs w:val="22"/>
        </w:rPr>
        <w:t>Mewujudkan tata kelola pemerintahan yang baik, bersih</w:t>
      </w:r>
      <w:r>
        <w:rPr>
          <w:rFonts w:ascii="Cambria" w:hAnsi="Cambria" w:cs="Tahoma"/>
          <w:sz w:val="22"/>
          <w:szCs w:val="22"/>
          <w:lang w:val="en-US"/>
        </w:rPr>
        <w:t>,</w:t>
      </w:r>
      <w:r>
        <w:rPr>
          <w:rFonts w:ascii="Cambria" w:hAnsi="Cambria" w:cs="Tahoma"/>
          <w:sz w:val="22"/>
          <w:szCs w:val="22"/>
        </w:rPr>
        <w:t xml:space="preserve"> dan efektif dengan didukung aparatur yang berkompeten dan pengawasan yang efektif dalam rangka pemantapan pelayanan publik.</w:t>
      </w:r>
    </w:p>
    <w:p>
      <w:pPr>
        <w:pStyle w:val="5"/>
        <w:numPr>
          <w:ilvl w:val="0"/>
          <w:numId w:val="7"/>
        </w:numPr>
        <w:spacing w:line="276" w:lineRule="auto"/>
        <w:ind w:left="720"/>
        <w:jc w:val="both"/>
        <w:rPr>
          <w:rFonts w:ascii="Cambria" w:hAnsi="Cambria" w:cs="Tahoma"/>
          <w:sz w:val="22"/>
          <w:szCs w:val="22"/>
        </w:rPr>
      </w:pPr>
      <w:r>
        <w:rPr>
          <w:rFonts w:ascii="Cambria" w:hAnsi="Cambria" w:cs="Tahoma"/>
          <w:sz w:val="22"/>
          <w:szCs w:val="22"/>
        </w:rPr>
        <w:t xml:space="preserve">Mendorong terwujudnya tertib dan kepastian hukum penyelenggaraan pemerintahan daerah.  </w:t>
      </w:r>
    </w:p>
    <w:p>
      <w:pPr>
        <w:spacing w:before="160" w:after="0" w:line="276" w:lineRule="auto"/>
        <w:ind w:firstLine="720"/>
        <w:jc w:val="both"/>
        <w:rPr>
          <w:rFonts w:ascii="Cambria" w:hAnsi="Cambria" w:cs="Tahoma"/>
          <w:bCs/>
          <w:iCs/>
        </w:rPr>
      </w:pPr>
      <w:r>
        <w:rPr>
          <w:rFonts w:ascii="Cambria" w:hAnsi="Cambria" w:cs="Tahoma"/>
          <w:bCs/>
          <w:iCs/>
        </w:rPr>
        <w:t>Dalam rangka pencapaian Visi, Misi, Tujuan, dan Sasaran Strategis Kementerian Dalam Negeri 2015-2019 yangsejalan dengan Visi, Misi, serta Arah Kebijakan dan Strategi Pembangunan Nasional, Kementerian Dalam Negeri telah menetapkan Arah Kebijakan dan Strategi sebagai berikut :</w:t>
      </w:r>
    </w:p>
    <w:p>
      <w:pPr>
        <w:pStyle w:val="15"/>
        <w:numPr>
          <w:ilvl w:val="0"/>
          <w:numId w:val="8"/>
        </w:numPr>
        <w:spacing w:after="0" w:line="276" w:lineRule="auto"/>
        <w:ind w:left="426" w:hanging="426"/>
        <w:contextualSpacing w:val="0"/>
        <w:jc w:val="both"/>
        <w:rPr>
          <w:rFonts w:ascii="Cambria" w:hAnsi="Cambria" w:eastAsia="Times New Roman" w:cs="Tahoma"/>
          <w:lang w:eastAsia="id-ID"/>
        </w:rPr>
      </w:pPr>
      <w:r>
        <w:rPr>
          <w:rFonts w:ascii="Cambria" w:hAnsi="Cambria" w:cs="Tahoma"/>
          <w:bCs/>
          <w:iCs/>
        </w:rPr>
        <w:t>Menjaga persatuan dan kesatuan, serta melanjutkan pengembangan sistem politik yang demokratis dan berkedaulatan rakyat berdasarkan Pancasila, melalui strategi :</w:t>
      </w:r>
    </w:p>
    <w:p>
      <w:pPr>
        <w:pStyle w:val="15"/>
        <w:numPr>
          <w:ilvl w:val="1"/>
          <w:numId w:val="9"/>
        </w:numPr>
        <w:tabs>
          <w:tab w:val="left" w:pos="784"/>
        </w:tabs>
        <w:spacing w:after="0" w:line="276" w:lineRule="auto"/>
        <w:ind w:left="782" w:hanging="357"/>
        <w:contextualSpacing w:val="0"/>
        <w:jc w:val="both"/>
        <w:rPr>
          <w:rFonts w:ascii="Cambria" w:hAnsi="Cambria" w:eastAsia="Times New Roman" w:cs="Tahoma"/>
          <w:lang w:eastAsia="id-ID"/>
        </w:rPr>
      </w:pPr>
      <w:r>
        <w:rPr>
          <w:rFonts w:ascii="Cambria" w:hAnsi="Cambria" w:cs="Tahoma"/>
          <w:bCs/>
          <w:iCs/>
        </w:rPr>
        <w:t>Penyusunan dan penyempurnaan kebijakan bidang kesatuan bangsa dan politik;</w:t>
      </w:r>
    </w:p>
    <w:p>
      <w:pPr>
        <w:pStyle w:val="15"/>
        <w:numPr>
          <w:ilvl w:val="1"/>
          <w:numId w:val="9"/>
        </w:numPr>
        <w:tabs>
          <w:tab w:val="left" w:pos="784"/>
        </w:tabs>
        <w:spacing w:after="0" w:line="276" w:lineRule="auto"/>
        <w:ind w:left="782" w:hanging="357"/>
        <w:contextualSpacing w:val="0"/>
        <w:jc w:val="both"/>
        <w:rPr>
          <w:rFonts w:ascii="Cambria" w:hAnsi="Cambria" w:eastAsia="Times New Roman" w:cs="Tahoma"/>
          <w:lang w:eastAsia="id-ID"/>
        </w:rPr>
      </w:pPr>
      <w:r>
        <w:rPr>
          <w:rFonts w:ascii="Cambria" w:hAnsi="Cambria" w:eastAsia="Times New Roman" w:cs="Tahoma"/>
          <w:lang w:eastAsia="id-ID"/>
        </w:rPr>
        <w:t>P</w:t>
      </w:r>
      <w:r>
        <w:rPr>
          <w:rFonts w:ascii="Cambria" w:hAnsi="Cambria" w:cs="Tahoma"/>
        </w:rPr>
        <w:t>enguatan dan internalisasi ideologi pancasila dan nilai-nilai kebangsaan;</w:t>
      </w:r>
    </w:p>
    <w:p>
      <w:pPr>
        <w:pStyle w:val="15"/>
        <w:numPr>
          <w:ilvl w:val="1"/>
          <w:numId w:val="9"/>
        </w:numPr>
        <w:tabs>
          <w:tab w:val="left" w:pos="784"/>
        </w:tabs>
        <w:spacing w:after="0" w:line="276" w:lineRule="auto"/>
        <w:ind w:left="782" w:hanging="357"/>
        <w:contextualSpacing w:val="0"/>
        <w:jc w:val="both"/>
        <w:rPr>
          <w:rFonts w:ascii="Cambria" w:hAnsi="Cambria" w:eastAsia="Times New Roman" w:cs="Tahoma"/>
          <w:lang w:eastAsia="id-ID"/>
        </w:rPr>
      </w:pPr>
      <w:r>
        <w:rPr>
          <w:rFonts w:ascii="Cambria" w:hAnsi="Cambria" w:eastAsia="Times New Roman" w:cs="Tahoma"/>
          <w:lang w:eastAsia="id-ID"/>
        </w:rPr>
        <w:t>Peningkatan peran partai politik dan organisasi kemasyarakatan serta lembaga pendidikan melalui pendidikan politik dan kewarganegaraan;</w:t>
      </w:r>
    </w:p>
    <w:p>
      <w:pPr>
        <w:pStyle w:val="15"/>
        <w:numPr>
          <w:ilvl w:val="1"/>
          <w:numId w:val="9"/>
        </w:numPr>
        <w:tabs>
          <w:tab w:val="left" w:pos="784"/>
        </w:tabs>
        <w:spacing w:after="0" w:line="276" w:lineRule="auto"/>
        <w:ind w:left="782" w:hanging="357"/>
        <w:contextualSpacing w:val="0"/>
        <w:jc w:val="both"/>
        <w:rPr>
          <w:rFonts w:ascii="Cambria" w:hAnsi="Cambria" w:eastAsia="Times New Roman" w:cs="Tahoma"/>
          <w:lang w:eastAsia="id-ID"/>
        </w:rPr>
      </w:pPr>
      <w:r>
        <w:rPr>
          <w:rFonts w:ascii="Cambria" w:hAnsi="Cambria" w:eastAsia="Times New Roman" w:cs="Tahoma"/>
          <w:lang w:eastAsia="id-ID"/>
        </w:rPr>
        <w:t>P</w:t>
      </w:r>
      <w:r>
        <w:rPr>
          <w:rFonts w:ascii="Cambria" w:hAnsi="Cambria" w:cs="Tahoma"/>
        </w:rPr>
        <w:t>embinaan dan pengembangan Ketahanan Ekonomi, Sosial dan Budaya;</w:t>
      </w:r>
    </w:p>
    <w:p>
      <w:pPr>
        <w:pStyle w:val="15"/>
        <w:numPr>
          <w:ilvl w:val="1"/>
          <w:numId w:val="9"/>
        </w:numPr>
        <w:tabs>
          <w:tab w:val="left" w:pos="784"/>
        </w:tabs>
        <w:spacing w:after="0" w:line="276" w:lineRule="auto"/>
        <w:ind w:left="782" w:hanging="357"/>
        <w:contextualSpacing w:val="0"/>
        <w:jc w:val="both"/>
        <w:rPr>
          <w:rFonts w:ascii="Cambria" w:hAnsi="Cambria" w:eastAsia="Times New Roman" w:cs="Tahoma"/>
          <w:lang w:eastAsia="id-ID"/>
        </w:rPr>
      </w:pPr>
      <w:r>
        <w:rPr>
          <w:rFonts w:ascii="Cambria" w:hAnsi="Cambria" w:eastAsia="Times New Roman" w:cs="Tahoma"/>
          <w:lang w:eastAsia="id-ID"/>
        </w:rPr>
        <w:t xml:space="preserve">Peningkatan kualitas dan </w:t>
      </w:r>
      <w:r>
        <w:rPr>
          <w:rFonts w:ascii="Cambria" w:hAnsi="Cambria" w:cs="Tahoma"/>
        </w:rPr>
        <w:t>fasilitasi penanganan konflik dan gangguan keamanan dalam negeri;</w:t>
      </w:r>
    </w:p>
    <w:p>
      <w:pPr>
        <w:pStyle w:val="15"/>
        <w:numPr>
          <w:ilvl w:val="0"/>
          <w:numId w:val="8"/>
        </w:numPr>
        <w:spacing w:after="0" w:line="276" w:lineRule="auto"/>
        <w:ind w:left="426" w:hanging="426"/>
        <w:contextualSpacing w:val="0"/>
        <w:jc w:val="both"/>
        <w:rPr>
          <w:rFonts w:ascii="Cambria" w:hAnsi="Cambria" w:cs="Tahoma"/>
        </w:rPr>
      </w:pPr>
      <w:r>
        <w:rPr>
          <w:rFonts w:ascii="Cambria" w:hAnsi="Cambria" w:cs="Tahoma"/>
          <w:bCs/>
          <w:iCs/>
        </w:rPr>
        <w:t xml:space="preserve">Memperkuat koordinasi dan penataan administrasi kewilayahan, melalui strategi : </w:t>
      </w:r>
    </w:p>
    <w:p>
      <w:pPr>
        <w:pStyle w:val="15"/>
        <w:numPr>
          <w:ilvl w:val="0"/>
          <w:numId w:val="10"/>
        </w:numPr>
        <w:tabs>
          <w:tab w:val="left" w:pos="784"/>
        </w:tabs>
        <w:spacing w:after="0" w:line="276" w:lineRule="auto"/>
        <w:contextualSpacing w:val="0"/>
        <w:jc w:val="both"/>
        <w:rPr>
          <w:rFonts w:ascii="Cambria" w:hAnsi="Cambria" w:cs="Tahoma"/>
        </w:rPr>
      </w:pPr>
      <w:r>
        <w:rPr>
          <w:rFonts w:ascii="Cambria" w:hAnsi="Cambria" w:cs="Tahoma"/>
        </w:rPr>
        <w:t>Penyusunan dan penataan regulasi administrasi kewilayahan;</w:t>
      </w:r>
    </w:p>
    <w:p>
      <w:pPr>
        <w:pStyle w:val="15"/>
        <w:numPr>
          <w:ilvl w:val="0"/>
          <w:numId w:val="10"/>
        </w:numPr>
        <w:tabs>
          <w:tab w:val="left" w:pos="784"/>
        </w:tabs>
        <w:spacing w:after="0" w:line="276" w:lineRule="auto"/>
        <w:contextualSpacing w:val="0"/>
        <w:jc w:val="both"/>
        <w:rPr>
          <w:rFonts w:ascii="Cambria" w:hAnsi="Cambria" w:cs="Tahoma"/>
        </w:rPr>
      </w:pPr>
      <w:r>
        <w:rPr>
          <w:rFonts w:ascii="Cambria" w:hAnsi="Cambria" w:cs="Tahoma"/>
        </w:rPr>
        <w:t>Peningkatan peran Gubernur sebagai Wakil Pemerintah dalam pelaksanaan koordinasi pembinaan dan pengawasan penyelenggaraan pemerintahan daerah;</w:t>
      </w:r>
    </w:p>
    <w:p>
      <w:pPr>
        <w:pStyle w:val="15"/>
        <w:numPr>
          <w:ilvl w:val="0"/>
          <w:numId w:val="10"/>
        </w:numPr>
        <w:tabs>
          <w:tab w:val="left" w:pos="784"/>
        </w:tabs>
        <w:spacing w:after="0" w:line="276" w:lineRule="auto"/>
        <w:contextualSpacing w:val="0"/>
        <w:jc w:val="both"/>
        <w:rPr>
          <w:rFonts w:ascii="Cambria" w:hAnsi="Cambria" w:cs="Tahoma"/>
        </w:rPr>
      </w:pPr>
      <w:r>
        <w:rPr>
          <w:rFonts w:ascii="Cambria" w:hAnsi="Cambria" w:cs="Tahoma"/>
        </w:rPr>
        <w:t>Penataan administrasi wilayah, penegasan batas daerah, dan toponimi;</w:t>
      </w:r>
    </w:p>
    <w:p>
      <w:pPr>
        <w:pStyle w:val="15"/>
        <w:numPr>
          <w:ilvl w:val="0"/>
          <w:numId w:val="10"/>
        </w:numPr>
        <w:tabs>
          <w:tab w:val="left" w:pos="784"/>
        </w:tabs>
        <w:spacing w:after="0" w:line="276" w:lineRule="auto"/>
        <w:contextualSpacing w:val="0"/>
        <w:jc w:val="both"/>
        <w:rPr>
          <w:rFonts w:ascii="Cambria" w:hAnsi="Cambria" w:cs="Tahoma"/>
        </w:rPr>
      </w:pPr>
      <w:r>
        <w:rPr>
          <w:rFonts w:ascii="Cambria" w:hAnsi="Cambria" w:cs="Tahoma"/>
        </w:rPr>
        <w:t>Peningkatan pembinaan kawasan khusus, pertanahan, perkotaan dan batas negara serta pulau-pulau kecil terluar;</w:t>
      </w:r>
    </w:p>
    <w:p>
      <w:pPr>
        <w:pStyle w:val="15"/>
        <w:numPr>
          <w:ilvl w:val="0"/>
          <w:numId w:val="10"/>
        </w:numPr>
        <w:tabs>
          <w:tab w:val="left" w:pos="784"/>
        </w:tabs>
        <w:spacing w:after="0" w:line="276" w:lineRule="auto"/>
        <w:contextualSpacing w:val="0"/>
        <w:jc w:val="both"/>
        <w:rPr>
          <w:rFonts w:ascii="Cambria" w:hAnsi="Cambria" w:cs="Tahoma"/>
        </w:rPr>
      </w:pPr>
      <w:r>
        <w:rPr>
          <w:rFonts w:ascii="Cambria" w:hAnsi="Cambria" w:cs="Tahoma"/>
        </w:rPr>
        <w:t>Peningkatan efektivitas kerjasama perbatasan antar negara di 3 (tiga) negara tetangga di kawasan perbatasan wilayah darat;</w:t>
      </w:r>
    </w:p>
    <w:p>
      <w:pPr>
        <w:pStyle w:val="15"/>
        <w:numPr>
          <w:ilvl w:val="0"/>
          <w:numId w:val="8"/>
        </w:numPr>
        <w:spacing w:after="0" w:line="276" w:lineRule="auto"/>
        <w:ind w:left="426" w:hanging="426"/>
        <w:contextualSpacing w:val="0"/>
        <w:jc w:val="both"/>
        <w:rPr>
          <w:rFonts w:ascii="Cambria" w:hAnsi="Cambria" w:cs="Tahoma"/>
        </w:rPr>
      </w:pPr>
      <w:r>
        <w:rPr>
          <w:rFonts w:ascii="Cambria" w:hAnsi="Cambria" w:cs="Tahoma"/>
          <w:bCs/>
          <w:iCs/>
        </w:rPr>
        <w:t>Meningkatkan</w:t>
      </w:r>
      <w:r>
        <w:rPr>
          <w:rFonts w:ascii="Cambria" w:hAnsi="Cambria" w:cs="Tahoma"/>
        </w:rPr>
        <w:t xml:space="preserve"> kualitas pelaksanaan desentralisasi dan otonomi daerah, </w:t>
      </w:r>
      <w:r>
        <w:rPr>
          <w:rFonts w:ascii="Cambria" w:hAnsi="Cambria" w:cs="Tahoma"/>
          <w:bCs/>
          <w:iCs/>
        </w:rPr>
        <w:t>melalui strategi :</w:t>
      </w:r>
    </w:p>
    <w:p>
      <w:pPr>
        <w:pStyle w:val="15"/>
        <w:numPr>
          <w:ilvl w:val="0"/>
          <w:numId w:val="11"/>
        </w:numPr>
        <w:tabs>
          <w:tab w:val="left" w:pos="784"/>
        </w:tabs>
        <w:spacing w:after="0" w:line="276" w:lineRule="auto"/>
        <w:contextualSpacing w:val="0"/>
        <w:jc w:val="both"/>
        <w:rPr>
          <w:rFonts w:ascii="Cambria" w:hAnsi="Cambria" w:cs="Tahoma"/>
        </w:rPr>
      </w:pPr>
      <w:r>
        <w:rPr>
          <w:rFonts w:ascii="Cambria" w:hAnsi="Cambria" w:cs="Tahoma"/>
          <w:bCs/>
          <w:iCs/>
        </w:rPr>
        <w:t>Percepatan penerbitan regulasi dan kebijakan sebagai tindak lanjut Undang-Undang Nomor 23 Tahun 2014 tentang Pemerintahan Daerah;</w:t>
      </w:r>
    </w:p>
    <w:p>
      <w:pPr>
        <w:pStyle w:val="15"/>
        <w:numPr>
          <w:ilvl w:val="0"/>
          <w:numId w:val="11"/>
        </w:numPr>
        <w:tabs>
          <w:tab w:val="left" w:pos="784"/>
        </w:tabs>
        <w:spacing w:after="0" w:line="276" w:lineRule="auto"/>
        <w:contextualSpacing w:val="0"/>
        <w:jc w:val="both"/>
        <w:rPr>
          <w:rFonts w:ascii="Cambria" w:hAnsi="Cambria" w:cs="Tahoma"/>
        </w:rPr>
      </w:pPr>
      <w:r>
        <w:rPr>
          <w:rFonts w:ascii="Cambria" w:hAnsi="Cambria" w:cs="Tahoma"/>
        </w:rPr>
        <w:t>Peningkatan kualitas tata kelola Pemerintah Daerah;</w:t>
      </w:r>
    </w:p>
    <w:p>
      <w:pPr>
        <w:pStyle w:val="15"/>
        <w:numPr>
          <w:ilvl w:val="0"/>
          <w:numId w:val="11"/>
        </w:numPr>
        <w:tabs>
          <w:tab w:val="left" w:pos="784"/>
        </w:tabs>
        <w:spacing w:after="0" w:line="276" w:lineRule="auto"/>
        <w:contextualSpacing w:val="0"/>
        <w:jc w:val="both"/>
        <w:rPr>
          <w:rFonts w:ascii="Cambria" w:hAnsi="Cambria" w:cs="Tahoma"/>
        </w:rPr>
      </w:pPr>
      <w:r>
        <w:rPr>
          <w:rFonts w:ascii="Cambria" w:hAnsi="Cambria" w:cs="Tahoma"/>
        </w:rPr>
        <w:t>Penataan kelembagaan dan peningkatan kualitas Pimpinan dan aparatur secara efektif dan proporsional dalam mendukung penyelenggaraan pemerintahan daerah;</w:t>
      </w:r>
    </w:p>
    <w:p>
      <w:pPr>
        <w:pStyle w:val="15"/>
        <w:numPr>
          <w:ilvl w:val="0"/>
          <w:numId w:val="11"/>
        </w:numPr>
        <w:tabs>
          <w:tab w:val="left" w:pos="784"/>
        </w:tabs>
        <w:spacing w:after="0" w:line="276" w:lineRule="auto"/>
        <w:contextualSpacing w:val="0"/>
        <w:jc w:val="both"/>
        <w:rPr>
          <w:rFonts w:ascii="Cambria" w:hAnsi="Cambria" w:cs="Tahoma"/>
        </w:rPr>
      </w:pPr>
      <w:r>
        <w:rPr>
          <w:rFonts w:ascii="Cambria" w:hAnsi="Cambria" w:cs="Tahoma"/>
        </w:rPr>
        <w:t>Peningkatan kemampuan dan prakarsa pemerintahan daerah terhadap pencapaian kinerja dalam penyelenggaraan otonomi daerah;</w:t>
      </w:r>
    </w:p>
    <w:p>
      <w:pPr>
        <w:pStyle w:val="15"/>
        <w:numPr>
          <w:ilvl w:val="0"/>
          <w:numId w:val="11"/>
        </w:numPr>
        <w:tabs>
          <w:tab w:val="left" w:pos="784"/>
        </w:tabs>
        <w:spacing w:after="0" w:line="276" w:lineRule="auto"/>
        <w:contextualSpacing w:val="0"/>
        <w:jc w:val="both"/>
        <w:rPr>
          <w:rFonts w:ascii="Cambria" w:hAnsi="Cambria" w:cs="Tahoma"/>
        </w:rPr>
      </w:pPr>
      <w:r>
        <w:rPr>
          <w:rFonts w:ascii="Cambria" w:hAnsi="Cambria" w:cs="Tahoma"/>
        </w:rPr>
        <w:t>Peningkatan kinerja pemerintahan daerah otonom baru;</w:t>
      </w:r>
    </w:p>
    <w:p>
      <w:pPr>
        <w:pStyle w:val="15"/>
        <w:numPr>
          <w:ilvl w:val="0"/>
          <w:numId w:val="11"/>
        </w:numPr>
        <w:tabs>
          <w:tab w:val="left" w:pos="784"/>
        </w:tabs>
        <w:spacing w:after="0" w:line="276" w:lineRule="auto"/>
        <w:contextualSpacing w:val="0"/>
        <w:jc w:val="both"/>
        <w:rPr>
          <w:rFonts w:ascii="Cambria" w:hAnsi="Cambria" w:cs="Tahoma"/>
        </w:rPr>
      </w:pPr>
      <w:r>
        <w:rPr>
          <w:rFonts w:ascii="Cambria" w:hAnsi="Cambria" w:cs="Tahoma"/>
        </w:rPr>
        <w:t>Peningkatan keberhasilan penerapan kebijakan otsus/keistimewaan daerah;</w:t>
      </w:r>
    </w:p>
    <w:p>
      <w:pPr>
        <w:pStyle w:val="15"/>
        <w:numPr>
          <w:ilvl w:val="0"/>
          <w:numId w:val="11"/>
        </w:numPr>
        <w:tabs>
          <w:tab w:val="left" w:pos="784"/>
        </w:tabs>
        <w:spacing w:after="0" w:line="276" w:lineRule="auto"/>
        <w:contextualSpacing w:val="0"/>
        <w:jc w:val="both"/>
        <w:rPr>
          <w:rFonts w:ascii="Cambria" w:hAnsi="Cambria" w:cs="Tahoma"/>
        </w:rPr>
      </w:pPr>
      <w:r>
        <w:rPr>
          <w:rFonts w:ascii="Cambria" w:hAnsi="Cambria" w:cs="Tahoma"/>
        </w:rPr>
        <w:t>Harmonisasi dan penataan produk hukum daerah agar selaras dengan peraturan perundang-undangan yang lebih tinggi dan tidak bertentangan dengan kepentingan umum.</w:t>
      </w:r>
    </w:p>
    <w:p>
      <w:pPr>
        <w:pStyle w:val="15"/>
        <w:numPr>
          <w:ilvl w:val="0"/>
          <w:numId w:val="8"/>
        </w:numPr>
        <w:spacing w:after="0" w:line="276" w:lineRule="auto"/>
        <w:ind w:left="426" w:hanging="426"/>
        <w:contextualSpacing w:val="0"/>
        <w:jc w:val="both"/>
        <w:rPr>
          <w:rFonts w:ascii="Cambria" w:hAnsi="Cambria" w:cs="Tahoma"/>
          <w:bCs/>
          <w:iCs/>
        </w:rPr>
      </w:pPr>
      <w:r>
        <w:rPr>
          <w:rFonts w:ascii="Cambria" w:hAnsi="Cambria" w:cs="Tahoma"/>
          <w:bCs/>
          <w:iCs/>
        </w:rPr>
        <w:t>Meningkatkan kualitas pengelolaan keuangan daerah yang partisipatif, transparan, efektif, efisien, akuntabel dan kompetitif, melalui strategi :</w:t>
      </w:r>
    </w:p>
    <w:p>
      <w:pPr>
        <w:pStyle w:val="15"/>
        <w:numPr>
          <w:ilvl w:val="0"/>
          <w:numId w:val="12"/>
        </w:numPr>
        <w:tabs>
          <w:tab w:val="left" w:pos="784"/>
        </w:tabs>
        <w:spacing w:after="0" w:line="276" w:lineRule="auto"/>
        <w:contextualSpacing w:val="0"/>
        <w:jc w:val="both"/>
        <w:rPr>
          <w:rFonts w:ascii="Cambria" w:hAnsi="Cambria" w:cs="Tahoma"/>
          <w:bCs/>
          <w:iCs/>
        </w:rPr>
      </w:pPr>
      <w:r>
        <w:rPr>
          <w:rFonts w:ascii="Cambria" w:hAnsi="Cambria" w:cs="Tahoma"/>
          <w:bCs/>
          <w:iCs/>
        </w:rPr>
        <w:t>Mendorong penetapan Perda tentang APBD Provinsi/Kabupaten/Kota secara tepat waktu;</w:t>
      </w:r>
    </w:p>
    <w:p>
      <w:pPr>
        <w:pStyle w:val="15"/>
        <w:numPr>
          <w:ilvl w:val="0"/>
          <w:numId w:val="12"/>
        </w:numPr>
        <w:tabs>
          <w:tab w:val="left" w:pos="784"/>
        </w:tabs>
        <w:spacing w:after="0" w:line="276" w:lineRule="auto"/>
        <w:contextualSpacing w:val="0"/>
        <w:jc w:val="both"/>
        <w:rPr>
          <w:rFonts w:ascii="Cambria" w:hAnsi="Cambria" w:cs="Tahoma"/>
          <w:bCs/>
          <w:iCs/>
        </w:rPr>
      </w:pPr>
      <w:r>
        <w:rPr>
          <w:rFonts w:ascii="Cambria" w:hAnsi="Cambria" w:cs="Tahoma"/>
          <w:bCs/>
          <w:iCs/>
        </w:rPr>
        <w:t>Mendorong penetapan Perda tentang Pertanggungjawaban Pelaksanaan APBD Provinsi/Kabupaten/Kota secara tepat waktu;</w:t>
      </w:r>
    </w:p>
    <w:p>
      <w:pPr>
        <w:pStyle w:val="15"/>
        <w:numPr>
          <w:ilvl w:val="0"/>
          <w:numId w:val="12"/>
        </w:numPr>
        <w:tabs>
          <w:tab w:val="left" w:pos="784"/>
        </w:tabs>
        <w:spacing w:after="0" w:line="276" w:lineRule="auto"/>
        <w:contextualSpacing w:val="0"/>
        <w:jc w:val="both"/>
        <w:rPr>
          <w:rFonts w:ascii="Cambria" w:hAnsi="Cambria" w:cs="Tahoma"/>
          <w:bCs/>
          <w:iCs/>
        </w:rPr>
      </w:pPr>
      <w:r>
        <w:rPr>
          <w:rFonts w:ascii="Cambria" w:hAnsi="Cambria" w:cs="Tahoma"/>
          <w:bCs/>
          <w:iCs/>
        </w:rPr>
        <w:t>Mendorong Peningkatan penerimaan pajak daerah dan retribusi daerah dalam APBD;</w:t>
      </w:r>
    </w:p>
    <w:p>
      <w:pPr>
        <w:pStyle w:val="15"/>
        <w:numPr>
          <w:ilvl w:val="0"/>
          <w:numId w:val="12"/>
        </w:numPr>
        <w:tabs>
          <w:tab w:val="left" w:pos="784"/>
        </w:tabs>
        <w:spacing w:after="0" w:line="276" w:lineRule="auto"/>
        <w:contextualSpacing w:val="0"/>
        <w:jc w:val="both"/>
        <w:rPr>
          <w:rFonts w:ascii="Cambria" w:hAnsi="Cambria" w:cs="Tahoma"/>
          <w:bCs/>
          <w:iCs/>
        </w:rPr>
      </w:pPr>
      <w:r>
        <w:rPr>
          <w:rFonts w:ascii="Cambria" w:hAnsi="Cambria" w:cs="Tahoma"/>
          <w:bCs/>
          <w:iCs/>
        </w:rPr>
        <w:t>Mendorong penerapan akuntansi berbasis akrual di Daerah;</w:t>
      </w:r>
    </w:p>
    <w:p>
      <w:pPr>
        <w:pStyle w:val="15"/>
        <w:numPr>
          <w:ilvl w:val="0"/>
          <w:numId w:val="12"/>
        </w:numPr>
        <w:tabs>
          <w:tab w:val="left" w:pos="784"/>
        </w:tabs>
        <w:spacing w:after="0" w:line="276" w:lineRule="auto"/>
        <w:contextualSpacing w:val="0"/>
        <w:jc w:val="both"/>
        <w:rPr>
          <w:rFonts w:ascii="Cambria" w:hAnsi="Cambria" w:cs="Tahoma"/>
          <w:bCs/>
          <w:iCs/>
        </w:rPr>
      </w:pPr>
      <w:r>
        <w:rPr>
          <w:rFonts w:ascii="Cambria" w:hAnsi="Cambria" w:cs="Tahoma"/>
          <w:bCs/>
          <w:iCs/>
        </w:rPr>
        <w:t>Peningkatan kualitas belanja pada APBD yang berorientasi pada pelayanan masyarakat, terutama untuk pembangunan infrastruktur, pengelolaan pendidikan, kesehatan dan perumahan;</w:t>
      </w:r>
    </w:p>
    <w:p>
      <w:pPr>
        <w:pStyle w:val="15"/>
        <w:numPr>
          <w:ilvl w:val="0"/>
          <w:numId w:val="12"/>
        </w:numPr>
        <w:tabs>
          <w:tab w:val="left" w:pos="784"/>
        </w:tabs>
        <w:spacing w:after="0" w:line="276" w:lineRule="auto"/>
        <w:contextualSpacing w:val="0"/>
        <w:jc w:val="both"/>
        <w:rPr>
          <w:rFonts w:ascii="Cambria" w:hAnsi="Cambria" w:cs="Tahoma"/>
          <w:bCs/>
          <w:iCs/>
        </w:rPr>
      </w:pPr>
      <w:r>
        <w:rPr>
          <w:rFonts w:ascii="Cambria" w:hAnsi="Cambria" w:cs="Tahoma"/>
          <w:bCs/>
          <w:iCs/>
        </w:rPr>
        <w:t>Mendorong Peningkatan kualitas pengelolaan Badan Usaha Milik Daerah (BUMD), Badan Layanan Umum Daerah (BLUD) dan Barang Milik Daerah (BMD);</w:t>
      </w:r>
    </w:p>
    <w:p>
      <w:pPr>
        <w:pStyle w:val="15"/>
        <w:numPr>
          <w:ilvl w:val="0"/>
          <w:numId w:val="12"/>
        </w:numPr>
        <w:tabs>
          <w:tab w:val="left" w:pos="784"/>
        </w:tabs>
        <w:spacing w:after="0" w:line="276" w:lineRule="auto"/>
        <w:contextualSpacing w:val="0"/>
        <w:jc w:val="both"/>
        <w:rPr>
          <w:rFonts w:ascii="Cambria" w:hAnsi="Cambria" w:cs="Tahoma"/>
          <w:bCs/>
          <w:iCs/>
        </w:rPr>
      </w:pPr>
      <w:r>
        <w:rPr>
          <w:rFonts w:ascii="Cambria" w:hAnsi="Cambria" w:cs="Tahoma"/>
          <w:bCs/>
          <w:iCs/>
        </w:rPr>
        <w:t>Mendorong Peningkatan kualitas pengelolaan dana perimbangan dan kemampuan fiskal daerah.</w:t>
      </w:r>
    </w:p>
    <w:p>
      <w:pPr>
        <w:pStyle w:val="15"/>
        <w:numPr>
          <w:ilvl w:val="0"/>
          <w:numId w:val="8"/>
        </w:numPr>
        <w:spacing w:after="0" w:line="276" w:lineRule="auto"/>
        <w:ind w:left="426" w:hanging="426"/>
        <w:contextualSpacing w:val="0"/>
        <w:jc w:val="both"/>
        <w:rPr>
          <w:rFonts w:ascii="Cambria" w:hAnsi="Cambria" w:cs="Tahoma"/>
          <w:bCs/>
          <w:iCs/>
        </w:rPr>
      </w:pPr>
      <w:r>
        <w:rPr>
          <w:rFonts w:ascii="Cambria" w:hAnsi="Cambria" w:cs="Tahoma"/>
          <w:bCs/>
          <w:iCs/>
        </w:rPr>
        <w:t>Meningkatkan kualitas pembangunan daerah sebagai bagian integral dari pembangunan nasional, melalui strategi :</w:t>
      </w:r>
    </w:p>
    <w:p>
      <w:pPr>
        <w:pStyle w:val="15"/>
        <w:numPr>
          <w:ilvl w:val="0"/>
          <w:numId w:val="13"/>
        </w:numPr>
        <w:tabs>
          <w:tab w:val="left" w:pos="784"/>
        </w:tabs>
        <w:spacing w:after="0" w:line="276" w:lineRule="auto"/>
        <w:contextualSpacing w:val="0"/>
        <w:jc w:val="both"/>
        <w:rPr>
          <w:rFonts w:ascii="Cambria" w:hAnsi="Cambria" w:cs="Tahoma"/>
          <w:bCs/>
          <w:iCs/>
        </w:rPr>
      </w:pPr>
      <w:r>
        <w:rPr>
          <w:rFonts w:ascii="Cambria" w:hAnsi="Cambria" w:cs="Tahoma"/>
          <w:bCs/>
          <w:iCs/>
        </w:rPr>
        <w:t xml:space="preserve">Peningkatan kualitas perencanaan pembangunan daerah; </w:t>
      </w:r>
    </w:p>
    <w:p>
      <w:pPr>
        <w:pStyle w:val="15"/>
        <w:numPr>
          <w:ilvl w:val="0"/>
          <w:numId w:val="13"/>
        </w:numPr>
        <w:tabs>
          <w:tab w:val="left" w:pos="784"/>
        </w:tabs>
        <w:spacing w:after="0" w:line="276" w:lineRule="auto"/>
        <w:contextualSpacing w:val="0"/>
        <w:jc w:val="both"/>
        <w:rPr>
          <w:rFonts w:ascii="Cambria" w:hAnsi="Cambria" w:cs="Tahoma"/>
          <w:bCs/>
          <w:iCs/>
        </w:rPr>
      </w:pPr>
      <w:r>
        <w:rPr>
          <w:rFonts w:ascii="Cambria" w:hAnsi="Cambria" w:cs="Tahoma"/>
          <w:bCs/>
          <w:iCs/>
        </w:rPr>
        <w:t>Mendorong harmonisasi, keselarasan, dan sinergitas pembangunan antar Daerah serta antara Pusat dan Daerah;</w:t>
      </w:r>
    </w:p>
    <w:p>
      <w:pPr>
        <w:pStyle w:val="15"/>
        <w:numPr>
          <w:ilvl w:val="0"/>
          <w:numId w:val="13"/>
        </w:numPr>
        <w:tabs>
          <w:tab w:val="left" w:pos="784"/>
        </w:tabs>
        <w:spacing w:after="0" w:line="276" w:lineRule="auto"/>
        <w:contextualSpacing w:val="0"/>
        <w:jc w:val="both"/>
        <w:rPr>
          <w:rFonts w:ascii="Cambria" w:hAnsi="Cambria" w:cs="Tahoma"/>
          <w:bCs/>
          <w:iCs/>
        </w:rPr>
      </w:pPr>
      <w:r>
        <w:rPr>
          <w:rFonts w:ascii="Cambria" w:hAnsi="Cambria" w:cs="Tahoma"/>
          <w:bCs/>
          <w:iCs/>
        </w:rPr>
        <w:t>Peningkatan partisipasi masyarakat dalam perencanaan pembangunan daerah;</w:t>
      </w:r>
    </w:p>
    <w:p>
      <w:pPr>
        <w:pStyle w:val="15"/>
        <w:numPr>
          <w:ilvl w:val="0"/>
          <w:numId w:val="8"/>
        </w:numPr>
        <w:spacing w:after="0" w:line="276" w:lineRule="auto"/>
        <w:ind w:left="426" w:hanging="426"/>
        <w:contextualSpacing w:val="0"/>
        <w:jc w:val="both"/>
        <w:rPr>
          <w:rFonts w:ascii="Cambria" w:hAnsi="Cambria" w:cs="Tahoma"/>
          <w:bCs/>
          <w:iCs/>
        </w:rPr>
      </w:pPr>
      <w:r>
        <w:rPr>
          <w:rFonts w:ascii="Cambria" w:hAnsi="Cambria" w:cs="Tahoma"/>
          <w:bCs/>
          <w:iCs/>
        </w:rPr>
        <w:t>Mempercepat penerapan Standar Pelayanan Minimal (SPM) di Daerah, melalui strategi :</w:t>
      </w:r>
    </w:p>
    <w:p>
      <w:pPr>
        <w:pStyle w:val="15"/>
        <w:numPr>
          <w:ilvl w:val="0"/>
          <w:numId w:val="14"/>
        </w:numPr>
        <w:tabs>
          <w:tab w:val="left" w:pos="784"/>
        </w:tabs>
        <w:spacing w:after="0" w:line="276" w:lineRule="auto"/>
        <w:contextualSpacing w:val="0"/>
        <w:jc w:val="both"/>
        <w:rPr>
          <w:rFonts w:ascii="Cambria" w:hAnsi="Cambria" w:cs="Tahoma"/>
          <w:bCs/>
          <w:iCs/>
        </w:rPr>
      </w:pPr>
      <w:r>
        <w:rPr>
          <w:rFonts w:ascii="Cambria" w:hAnsi="Cambria" w:cs="Tahoma"/>
          <w:bCs/>
          <w:iCs/>
        </w:rPr>
        <w:t>Percepatan penyelesaian dan fasilitasi penyusunan regulasi terkait SPM;</w:t>
      </w:r>
    </w:p>
    <w:p>
      <w:pPr>
        <w:pStyle w:val="15"/>
        <w:numPr>
          <w:ilvl w:val="0"/>
          <w:numId w:val="14"/>
        </w:numPr>
        <w:tabs>
          <w:tab w:val="left" w:pos="784"/>
        </w:tabs>
        <w:spacing w:after="0" w:line="276" w:lineRule="auto"/>
        <w:contextualSpacing w:val="0"/>
        <w:jc w:val="both"/>
        <w:rPr>
          <w:rFonts w:ascii="Cambria" w:hAnsi="Cambria" w:cs="Tahoma"/>
          <w:bCs/>
          <w:iCs/>
        </w:rPr>
      </w:pPr>
      <w:r>
        <w:rPr>
          <w:rFonts w:ascii="Cambria" w:hAnsi="Cambria" w:cs="Tahoma"/>
          <w:bCs/>
          <w:iCs/>
        </w:rPr>
        <w:t>Penerapan indikator utama SPM di daerah;</w:t>
      </w:r>
    </w:p>
    <w:p>
      <w:pPr>
        <w:pStyle w:val="15"/>
        <w:numPr>
          <w:ilvl w:val="0"/>
          <w:numId w:val="14"/>
        </w:numPr>
        <w:tabs>
          <w:tab w:val="left" w:pos="784"/>
        </w:tabs>
        <w:spacing w:after="0" w:line="276" w:lineRule="auto"/>
        <w:contextualSpacing w:val="0"/>
        <w:jc w:val="both"/>
        <w:rPr>
          <w:rFonts w:ascii="Cambria" w:hAnsi="Cambria" w:cs="Tahoma"/>
          <w:bCs/>
          <w:iCs/>
        </w:rPr>
      </w:pPr>
      <w:r>
        <w:rPr>
          <w:rFonts w:ascii="Cambria" w:hAnsi="Cambria" w:cs="Tahoma"/>
          <w:bCs/>
          <w:iCs/>
        </w:rPr>
        <w:t>Peningkatan kualitas penyelenggaraan urusan pemerintahan daerah, mencakup 6 urusan wajib dasar, 18 urusan wajib non dasar, dan 8 urusan pilihan;</w:t>
      </w:r>
    </w:p>
    <w:p>
      <w:pPr>
        <w:pStyle w:val="15"/>
        <w:numPr>
          <w:ilvl w:val="0"/>
          <w:numId w:val="14"/>
        </w:numPr>
        <w:tabs>
          <w:tab w:val="left" w:pos="784"/>
        </w:tabs>
        <w:spacing w:after="0" w:line="276" w:lineRule="auto"/>
        <w:contextualSpacing w:val="0"/>
        <w:jc w:val="both"/>
        <w:rPr>
          <w:rFonts w:ascii="Cambria" w:hAnsi="Cambria" w:cs="Tahoma"/>
          <w:bCs/>
          <w:iCs/>
        </w:rPr>
      </w:pPr>
      <w:r>
        <w:rPr>
          <w:rFonts w:ascii="Cambria" w:hAnsi="Cambria" w:cs="Tahoma"/>
          <w:bCs/>
          <w:iCs/>
        </w:rPr>
        <w:t>Penyelesaian perselisihan antar daerah terkait dengan urusan pemerintahan;</w:t>
      </w:r>
    </w:p>
    <w:p>
      <w:pPr>
        <w:pStyle w:val="15"/>
        <w:numPr>
          <w:ilvl w:val="0"/>
          <w:numId w:val="8"/>
        </w:numPr>
        <w:spacing w:after="0" w:line="276" w:lineRule="auto"/>
        <w:ind w:left="426" w:hanging="426"/>
        <w:contextualSpacing w:val="0"/>
        <w:jc w:val="both"/>
        <w:rPr>
          <w:rFonts w:ascii="Cambria" w:hAnsi="Cambria" w:cs="Tahoma"/>
          <w:bCs/>
          <w:iCs/>
        </w:rPr>
      </w:pPr>
      <w:r>
        <w:rPr>
          <w:rFonts w:ascii="Cambria" w:hAnsi="Cambria" w:cs="Tahoma"/>
          <w:bCs/>
          <w:iCs/>
        </w:rPr>
        <w:t>Mendorong terwujudnya pelayanan publik yang baik di daerah, melalui strategi:</w:t>
      </w:r>
    </w:p>
    <w:p>
      <w:pPr>
        <w:pStyle w:val="15"/>
        <w:numPr>
          <w:ilvl w:val="0"/>
          <w:numId w:val="15"/>
        </w:numPr>
        <w:tabs>
          <w:tab w:val="left" w:pos="784"/>
        </w:tabs>
        <w:spacing w:after="0" w:line="276" w:lineRule="auto"/>
        <w:contextualSpacing w:val="0"/>
        <w:jc w:val="both"/>
        <w:rPr>
          <w:rFonts w:ascii="Cambria" w:hAnsi="Cambria" w:cs="Tahoma"/>
        </w:rPr>
      </w:pPr>
      <w:r>
        <w:rPr>
          <w:rFonts w:ascii="Cambria" w:hAnsi="Cambria" w:cs="Tahoma"/>
        </w:rPr>
        <w:t>Penerapan kebijakan pelayanan publik di daerah;</w:t>
      </w:r>
    </w:p>
    <w:p>
      <w:pPr>
        <w:pStyle w:val="15"/>
        <w:numPr>
          <w:ilvl w:val="0"/>
          <w:numId w:val="15"/>
        </w:numPr>
        <w:tabs>
          <w:tab w:val="left" w:pos="784"/>
        </w:tabs>
        <w:spacing w:after="0" w:line="276" w:lineRule="auto"/>
        <w:contextualSpacing w:val="0"/>
        <w:jc w:val="both"/>
        <w:rPr>
          <w:rFonts w:ascii="Cambria" w:hAnsi="Cambria" w:cs="Tahoma"/>
        </w:rPr>
      </w:pPr>
      <w:r>
        <w:rPr>
          <w:rFonts w:ascii="Cambria" w:hAnsi="Cambria" w:cs="Tahoma"/>
        </w:rPr>
        <w:t>Penguatan kelembagaan PTSP di Daerah;</w:t>
      </w:r>
    </w:p>
    <w:p>
      <w:pPr>
        <w:pStyle w:val="15"/>
        <w:numPr>
          <w:ilvl w:val="0"/>
          <w:numId w:val="15"/>
        </w:numPr>
        <w:tabs>
          <w:tab w:val="left" w:pos="784"/>
        </w:tabs>
        <w:spacing w:after="0" w:line="276" w:lineRule="auto"/>
        <w:contextualSpacing w:val="0"/>
        <w:jc w:val="both"/>
        <w:rPr>
          <w:rFonts w:ascii="Cambria" w:hAnsi="Cambria" w:cs="Tahoma"/>
        </w:rPr>
      </w:pPr>
      <w:r>
        <w:rPr>
          <w:rFonts w:ascii="Cambria" w:hAnsi="Cambria" w:cs="Tahoma"/>
        </w:rPr>
        <w:t>Peningkatan kualitas dan cakupan daerah yang menerapkan Pelayanan Administrasi Terpadu Kecamatan (PATEN);</w:t>
      </w:r>
    </w:p>
    <w:p>
      <w:pPr>
        <w:pStyle w:val="15"/>
        <w:numPr>
          <w:ilvl w:val="0"/>
          <w:numId w:val="15"/>
        </w:numPr>
        <w:tabs>
          <w:tab w:val="left" w:pos="784"/>
        </w:tabs>
        <w:spacing w:after="0" w:line="276" w:lineRule="auto"/>
        <w:contextualSpacing w:val="0"/>
        <w:jc w:val="both"/>
        <w:rPr>
          <w:rFonts w:ascii="Cambria" w:hAnsi="Cambria" w:cs="Tahoma"/>
        </w:rPr>
      </w:pPr>
      <w:r>
        <w:rPr>
          <w:rFonts w:ascii="Cambria" w:hAnsi="Cambria" w:cs="Tahoma"/>
        </w:rPr>
        <w:t>Peningkatan kapasitas aparat dan kelembagaan Satuan Polisi Pamong Praja dan Satuan Perlindungan Masyarakat, serta aparat dan kelembagaan pencegahan penanggulangan bencana dan bahaya kebakaran, termasuk penyediaan layanan dasarnya sesuai SPM;</w:t>
      </w:r>
    </w:p>
    <w:p>
      <w:pPr>
        <w:pStyle w:val="15"/>
        <w:numPr>
          <w:ilvl w:val="0"/>
          <w:numId w:val="8"/>
        </w:numPr>
        <w:spacing w:before="120" w:after="0" w:line="276" w:lineRule="auto"/>
        <w:ind w:left="426" w:hanging="426"/>
        <w:contextualSpacing w:val="0"/>
        <w:jc w:val="both"/>
        <w:rPr>
          <w:rFonts w:ascii="Cambria" w:hAnsi="Cambria" w:cs="Tahoma"/>
          <w:bCs/>
          <w:iCs/>
        </w:rPr>
      </w:pPr>
      <w:r>
        <w:rPr>
          <w:rFonts w:ascii="Cambria" w:hAnsi="Cambria" w:cs="Tahoma"/>
          <w:bCs/>
          <w:iCs/>
        </w:rPr>
        <w:t>Meningkatkan kualitas penyelenggaraan Pemerintahan Desa dalam memberikan pelayanan dan menciptakan kesejahteraan masyarakat, melalui strategi :</w:t>
      </w:r>
    </w:p>
    <w:p>
      <w:pPr>
        <w:pStyle w:val="15"/>
        <w:numPr>
          <w:ilvl w:val="0"/>
          <w:numId w:val="16"/>
        </w:numPr>
        <w:tabs>
          <w:tab w:val="left" w:pos="784"/>
        </w:tabs>
        <w:spacing w:before="60" w:after="0" w:line="276" w:lineRule="auto"/>
        <w:contextualSpacing w:val="0"/>
        <w:jc w:val="both"/>
        <w:rPr>
          <w:rFonts w:ascii="Cambria" w:hAnsi="Cambria" w:cs="Tahoma"/>
          <w:bCs/>
          <w:iCs/>
        </w:rPr>
      </w:pPr>
      <w:r>
        <w:rPr>
          <w:rFonts w:ascii="Cambria" w:hAnsi="Cambria" w:cs="Tahoma"/>
          <w:bCs/>
          <w:iCs/>
        </w:rPr>
        <w:t>Peningkatan kualitas tata kelola pemerintahan desa sesuai dengan ketentuan peraturan perundang-undangan;</w:t>
      </w:r>
    </w:p>
    <w:p>
      <w:pPr>
        <w:pStyle w:val="15"/>
        <w:numPr>
          <w:ilvl w:val="0"/>
          <w:numId w:val="16"/>
        </w:numPr>
        <w:tabs>
          <w:tab w:val="left" w:pos="784"/>
        </w:tabs>
        <w:spacing w:before="60" w:after="0" w:line="276" w:lineRule="auto"/>
        <w:contextualSpacing w:val="0"/>
        <w:jc w:val="both"/>
        <w:rPr>
          <w:rFonts w:ascii="Cambria" w:hAnsi="Cambria" w:cs="Tahoma"/>
          <w:bCs/>
          <w:iCs/>
        </w:rPr>
      </w:pPr>
      <w:r>
        <w:rPr>
          <w:rFonts w:ascii="Cambria" w:hAnsi="Cambria" w:cs="Tahoma"/>
          <w:bCs/>
          <w:iCs/>
        </w:rPr>
        <w:t>Peningkatan akuntabilitas, efektifitas, dan transparansi pengelolaan keuangan dan aset desa;</w:t>
      </w:r>
    </w:p>
    <w:p>
      <w:pPr>
        <w:pStyle w:val="15"/>
        <w:numPr>
          <w:ilvl w:val="0"/>
          <w:numId w:val="16"/>
        </w:numPr>
        <w:tabs>
          <w:tab w:val="left" w:pos="784"/>
        </w:tabs>
        <w:spacing w:before="60" w:after="0" w:line="276" w:lineRule="auto"/>
        <w:contextualSpacing w:val="0"/>
        <w:jc w:val="both"/>
        <w:rPr>
          <w:rFonts w:ascii="Cambria" w:hAnsi="Cambria" w:cs="Tahoma"/>
          <w:bCs/>
          <w:iCs/>
        </w:rPr>
      </w:pPr>
      <w:r>
        <w:rPr>
          <w:rFonts w:ascii="Cambria" w:hAnsi="Cambria" w:cs="Tahoma"/>
          <w:bCs/>
          <w:iCs/>
        </w:rPr>
        <w:t>Peningkatan kapasitas aparat desa dalam manajemen pemerintahan desa;</w:t>
      </w:r>
    </w:p>
    <w:p>
      <w:pPr>
        <w:pStyle w:val="15"/>
        <w:numPr>
          <w:ilvl w:val="0"/>
          <w:numId w:val="16"/>
        </w:numPr>
        <w:tabs>
          <w:tab w:val="left" w:pos="784"/>
        </w:tabs>
        <w:spacing w:before="60" w:after="0" w:line="276" w:lineRule="auto"/>
        <w:contextualSpacing w:val="0"/>
        <w:jc w:val="both"/>
        <w:rPr>
          <w:rFonts w:ascii="Cambria" w:hAnsi="Cambria" w:cs="Tahoma"/>
          <w:bCs/>
          <w:iCs/>
        </w:rPr>
      </w:pPr>
      <w:r>
        <w:rPr>
          <w:rFonts w:ascii="Cambria" w:hAnsi="Cambria" w:cs="Tahoma"/>
          <w:bCs/>
          <w:iCs/>
        </w:rPr>
        <w:t>Peningkatan fungsi kelembagaan dan kerjasama desa;</w:t>
      </w:r>
    </w:p>
    <w:p>
      <w:pPr>
        <w:pStyle w:val="15"/>
        <w:numPr>
          <w:ilvl w:val="0"/>
          <w:numId w:val="16"/>
        </w:numPr>
        <w:tabs>
          <w:tab w:val="left" w:pos="784"/>
        </w:tabs>
        <w:spacing w:before="60" w:after="0" w:line="276" w:lineRule="auto"/>
        <w:contextualSpacing w:val="0"/>
        <w:jc w:val="both"/>
        <w:rPr>
          <w:rFonts w:ascii="Cambria" w:hAnsi="Cambria" w:cs="Tahoma"/>
          <w:bCs/>
          <w:iCs/>
        </w:rPr>
      </w:pPr>
      <w:r>
        <w:rPr>
          <w:rFonts w:ascii="Cambria" w:hAnsi="Cambria" w:cs="Tahoma"/>
          <w:bCs/>
          <w:iCs/>
        </w:rPr>
        <w:t>Peningkatan Kapasitas Pengelolaan Keuangan dan Aset Pemerintahan Desa;</w:t>
      </w:r>
    </w:p>
    <w:p>
      <w:pPr>
        <w:pStyle w:val="15"/>
        <w:numPr>
          <w:ilvl w:val="0"/>
          <w:numId w:val="8"/>
        </w:numPr>
        <w:spacing w:before="120" w:after="0" w:line="276" w:lineRule="auto"/>
        <w:ind w:left="426" w:hanging="426"/>
        <w:contextualSpacing w:val="0"/>
        <w:jc w:val="both"/>
        <w:rPr>
          <w:rFonts w:ascii="Cambria" w:hAnsi="Cambria" w:cs="Tahoma"/>
          <w:bCs/>
          <w:iCs/>
        </w:rPr>
      </w:pPr>
      <w:r>
        <w:rPr>
          <w:rFonts w:ascii="Cambria" w:hAnsi="Cambria" w:cs="Tahoma"/>
          <w:bCs/>
          <w:iCs/>
        </w:rPr>
        <w:t xml:space="preserve">Meningkatkan kualitas dan kemanfaatan </w:t>
      </w:r>
      <w:r>
        <w:rPr>
          <w:rFonts w:ascii="Cambria" w:hAnsi="Cambria" w:cs="Tahoma"/>
          <w:bCs/>
          <w:i/>
          <w:iCs/>
        </w:rPr>
        <w:t>database</w:t>
      </w:r>
      <w:r>
        <w:rPr>
          <w:rFonts w:ascii="Cambria" w:hAnsi="Cambria" w:cs="Tahoma"/>
          <w:bCs/>
          <w:iCs/>
        </w:rPr>
        <w:t xml:space="preserve"> kependudukan nasional, melalui strategi : </w:t>
      </w:r>
    </w:p>
    <w:p>
      <w:pPr>
        <w:pStyle w:val="15"/>
        <w:numPr>
          <w:ilvl w:val="0"/>
          <w:numId w:val="17"/>
        </w:numPr>
        <w:tabs>
          <w:tab w:val="left" w:pos="784"/>
        </w:tabs>
        <w:spacing w:before="60" w:after="0" w:line="276" w:lineRule="auto"/>
        <w:contextualSpacing w:val="0"/>
        <w:jc w:val="both"/>
        <w:rPr>
          <w:rFonts w:ascii="Cambria" w:hAnsi="Cambria" w:cs="Tahoma"/>
          <w:bCs/>
          <w:iCs/>
        </w:rPr>
      </w:pPr>
      <w:r>
        <w:rPr>
          <w:rFonts w:ascii="Cambria" w:hAnsi="Cambria" w:cs="Tahoma"/>
          <w:bCs/>
          <w:iCs/>
        </w:rPr>
        <w:t xml:space="preserve">Penyediaan </w:t>
      </w:r>
      <w:r>
        <w:rPr>
          <w:rFonts w:ascii="Cambria" w:hAnsi="Cambria" w:cs="Tahoma"/>
          <w:bCs/>
          <w:i/>
          <w:iCs/>
        </w:rPr>
        <w:t>database</w:t>
      </w:r>
      <w:r>
        <w:rPr>
          <w:rFonts w:ascii="Cambria" w:hAnsi="Cambria" w:cs="Tahoma"/>
          <w:bCs/>
          <w:iCs/>
        </w:rPr>
        <w:t xml:space="preserve"> kependudukan secara </w:t>
      </w:r>
      <w:r>
        <w:rPr>
          <w:rFonts w:ascii="Cambria" w:hAnsi="Cambria" w:cs="Tahoma"/>
        </w:rPr>
        <w:t>akurat dan terpadu</w:t>
      </w:r>
      <w:r>
        <w:rPr>
          <w:rFonts w:ascii="Cambria" w:hAnsi="Cambria" w:cs="Tahoma"/>
          <w:bCs/>
          <w:iCs/>
        </w:rPr>
        <w:t xml:space="preserve"> dalam pelayanan kepada masyarakat;</w:t>
      </w:r>
    </w:p>
    <w:p>
      <w:pPr>
        <w:pStyle w:val="15"/>
        <w:numPr>
          <w:ilvl w:val="0"/>
          <w:numId w:val="17"/>
        </w:numPr>
        <w:tabs>
          <w:tab w:val="left" w:pos="784"/>
        </w:tabs>
        <w:spacing w:after="0" w:line="276" w:lineRule="auto"/>
        <w:contextualSpacing w:val="0"/>
        <w:jc w:val="both"/>
        <w:rPr>
          <w:rFonts w:ascii="Cambria" w:hAnsi="Cambria" w:cs="Tahoma"/>
          <w:bCs/>
          <w:iCs/>
        </w:rPr>
      </w:pPr>
      <w:r>
        <w:rPr>
          <w:rFonts w:ascii="Cambria" w:hAnsi="Cambria" w:cs="Tahoma"/>
          <w:bCs/>
          <w:iCs/>
        </w:rPr>
        <w:t xml:space="preserve">Pemanfaatan NIK, </w:t>
      </w:r>
      <w:r>
        <w:rPr>
          <w:rFonts w:ascii="Cambria" w:hAnsi="Cambria" w:cs="Tahoma"/>
          <w:bCs/>
          <w:i/>
          <w:iCs/>
        </w:rPr>
        <w:t>Database</w:t>
      </w:r>
      <w:r>
        <w:rPr>
          <w:rFonts w:ascii="Cambria" w:hAnsi="Cambria" w:cs="Tahoma"/>
          <w:bCs/>
          <w:iCs/>
        </w:rPr>
        <w:t xml:space="preserve"> Kependudukan dan KTP-el secara nyata dalam pelayanan publik, termasuk penyediaan DP4 untuk mendukung penyelenggaraan Pemilu/Pemilukada Serentak;</w:t>
      </w:r>
    </w:p>
    <w:p>
      <w:pPr>
        <w:pStyle w:val="15"/>
        <w:numPr>
          <w:ilvl w:val="0"/>
          <w:numId w:val="17"/>
        </w:numPr>
        <w:tabs>
          <w:tab w:val="left" w:pos="784"/>
        </w:tabs>
        <w:spacing w:after="0" w:line="276" w:lineRule="auto"/>
        <w:contextualSpacing w:val="0"/>
        <w:jc w:val="both"/>
        <w:rPr>
          <w:rFonts w:ascii="Cambria" w:hAnsi="Cambria" w:cs="Tahoma"/>
          <w:bCs/>
          <w:iCs/>
        </w:rPr>
      </w:pPr>
      <w:r>
        <w:rPr>
          <w:rFonts w:ascii="Cambria" w:hAnsi="Cambria" w:cs="Tahoma"/>
          <w:bCs/>
          <w:iCs/>
        </w:rPr>
        <w:t>Peningkatan kualitas pelayanan dokumen administrasi kependudukan;</w:t>
      </w:r>
    </w:p>
    <w:p>
      <w:pPr>
        <w:pStyle w:val="15"/>
        <w:numPr>
          <w:ilvl w:val="0"/>
          <w:numId w:val="17"/>
        </w:numPr>
        <w:tabs>
          <w:tab w:val="left" w:pos="784"/>
        </w:tabs>
        <w:spacing w:after="0" w:line="276" w:lineRule="auto"/>
        <w:contextualSpacing w:val="0"/>
        <w:jc w:val="both"/>
        <w:rPr>
          <w:rFonts w:ascii="Cambria" w:hAnsi="Cambria" w:cs="Tahoma"/>
          <w:bCs/>
          <w:iCs/>
        </w:rPr>
      </w:pPr>
      <w:r>
        <w:rPr>
          <w:rFonts w:ascii="Cambria" w:hAnsi="Cambria" w:cs="Tahoma"/>
          <w:bCs/>
          <w:iCs/>
        </w:rPr>
        <w:t>Peningkatan kualitas aparatur di bidang kependudukan dan pencatatan sipil;</w:t>
      </w:r>
    </w:p>
    <w:p>
      <w:pPr>
        <w:pStyle w:val="15"/>
        <w:numPr>
          <w:ilvl w:val="0"/>
          <w:numId w:val="8"/>
        </w:numPr>
        <w:spacing w:after="0" w:line="276" w:lineRule="auto"/>
        <w:ind w:left="426" w:hanging="426"/>
        <w:contextualSpacing w:val="0"/>
        <w:jc w:val="both"/>
        <w:rPr>
          <w:rFonts w:ascii="Cambria" w:hAnsi="Cambria" w:cs="Tahoma"/>
          <w:bCs/>
          <w:iCs/>
        </w:rPr>
      </w:pPr>
      <w:r>
        <w:rPr>
          <w:rFonts w:ascii="Cambria" w:hAnsi="Cambria" w:cs="Tahoma"/>
          <w:bCs/>
          <w:iCs/>
        </w:rPr>
        <w:t>Meningkatkan kualitas tata kelola pemerintahan yang baik dan melanjutkan reformasi birokrasi di lingkungan Kementerian Dalam Negeri, melalui strategi :</w:t>
      </w:r>
    </w:p>
    <w:p>
      <w:pPr>
        <w:pStyle w:val="15"/>
        <w:numPr>
          <w:ilvl w:val="0"/>
          <w:numId w:val="18"/>
        </w:numPr>
        <w:tabs>
          <w:tab w:val="left" w:pos="784"/>
        </w:tabs>
        <w:spacing w:after="0" w:line="276" w:lineRule="auto"/>
        <w:contextualSpacing w:val="0"/>
        <w:jc w:val="both"/>
        <w:rPr>
          <w:rFonts w:ascii="Cambria" w:hAnsi="Cambria" w:cs="Tahoma"/>
          <w:bCs/>
          <w:iCs/>
        </w:rPr>
      </w:pPr>
      <w:r>
        <w:rPr>
          <w:rFonts w:ascii="Cambria" w:hAnsi="Cambria" w:cs="Tahoma"/>
          <w:bCs/>
          <w:iCs/>
        </w:rPr>
        <w:t>Peningkatan akuntabilitas kinerja dan keuangan;</w:t>
      </w:r>
    </w:p>
    <w:p>
      <w:pPr>
        <w:pStyle w:val="15"/>
        <w:numPr>
          <w:ilvl w:val="0"/>
          <w:numId w:val="18"/>
        </w:numPr>
        <w:tabs>
          <w:tab w:val="left" w:pos="784"/>
        </w:tabs>
        <w:spacing w:after="0" w:line="276" w:lineRule="auto"/>
        <w:contextualSpacing w:val="0"/>
        <w:jc w:val="both"/>
        <w:rPr>
          <w:rFonts w:ascii="Cambria" w:hAnsi="Cambria" w:cs="Tahoma"/>
          <w:bCs/>
          <w:iCs/>
        </w:rPr>
      </w:pPr>
      <w:r>
        <w:rPr>
          <w:rFonts w:ascii="Cambria" w:hAnsi="Cambria" w:cs="Tahoma"/>
          <w:bCs/>
          <w:iCs/>
        </w:rPr>
        <w:t>Peningkatan kompetensi dan profesionalisme SDM Aparatur;</w:t>
      </w:r>
    </w:p>
    <w:p>
      <w:pPr>
        <w:pStyle w:val="15"/>
        <w:numPr>
          <w:ilvl w:val="0"/>
          <w:numId w:val="18"/>
        </w:numPr>
        <w:tabs>
          <w:tab w:val="left" w:pos="784"/>
        </w:tabs>
        <w:spacing w:after="0" w:line="276" w:lineRule="auto"/>
        <w:contextualSpacing w:val="0"/>
        <w:jc w:val="both"/>
        <w:rPr>
          <w:rFonts w:ascii="Cambria" w:hAnsi="Cambria" w:cs="Tahoma"/>
          <w:bCs/>
          <w:iCs/>
        </w:rPr>
      </w:pPr>
      <w:r>
        <w:rPr>
          <w:rFonts w:ascii="Cambria" w:hAnsi="Cambria" w:cs="Tahoma"/>
          <w:bCs/>
          <w:iCs/>
        </w:rPr>
        <w:t>Penyediaan sistem informasi yang terintegrasi;</w:t>
      </w:r>
    </w:p>
    <w:p>
      <w:pPr>
        <w:pStyle w:val="15"/>
        <w:numPr>
          <w:ilvl w:val="0"/>
          <w:numId w:val="18"/>
        </w:numPr>
        <w:tabs>
          <w:tab w:val="left" w:pos="784"/>
        </w:tabs>
        <w:spacing w:after="0" w:line="276" w:lineRule="auto"/>
        <w:contextualSpacing w:val="0"/>
        <w:jc w:val="both"/>
        <w:rPr>
          <w:rFonts w:ascii="Cambria" w:hAnsi="Cambria" w:cs="Tahoma"/>
          <w:bCs/>
          <w:iCs/>
        </w:rPr>
      </w:pPr>
      <w:r>
        <w:rPr>
          <w:rFonts w:ascii="Cambria" w:hAnsi="Cambria" w:cs="Tahoma"/>
          <w:bCs/>
          <w:iCs/>
        </w:rPr>
        <w:t>Peningkatan kualitas pelayanan publik;</w:t>
      </w:r>
    </w:p>
    <w:p>
      <w:pPr>
        <w:pStyle w:val="15"/>
        <w:numPr>
          <w:ilvl w:val="0"/>
          <w:numId w:val="18"/>
        </w:numPr>
        <w:tabs>
          <w:tab w:val="left" w:pos="784"/>
        </w:tabs>
        <w:spacing w:after="0" w:line="276" w:lineRule="auto"/>
        <w:contextualSpacing w:val="0"/>
        <w:jc w:val="both"/>
        <w:rPr>
          <w:rFonts w:ascii="Cambria" w:hAnsi="Cambria" w:cs="Tahoma"/>
          <w:bCs/>
          <w:iCs/>
        </w:rPr>
      </w:pPr>
      <w:r>
        <w:rPr>
          <w:rFonts w:ascii="Cambria" w:hAnsi="Cambria" w:cs="Tahoma"/>
          <w:bCs/>
          <w:iCs/>
        </w:rPr>
        <w:t>Peningkatan kualitas kelitbangan dalam perumusan kebijakan;</w:t>
      </w:r>
    </w:p>
    <w:p>
      <w:pPr>
        <w:pStyle w:val="15"/>
        <w:numPr>
          <w:ilvl w:val="0"/>
          <w:numId w:val="18"/>
        </w:numPr>
        <w:tabs>
          <w:tab w:val="left" w:pos="784"/>
        </w:tabs>
        <w:spacing w:after="0" w:line="276" w:lineRule="auto"/>
        <w:contextualSpacing w:val="0"/>
        <w:jc w:val="both"/>
        <w:rPr>
          <w:rFonts w:ascii="Cambria" w:hAnsi="Cambria" w:cs="Tahoma"/>
          <w:bCs/>
          <w:iCs/>
        </w:rPr>
      </w:pPr>
      <w:r>
        <w:rPr>
          <w:rFonts w:ascii="Cambria" w:hAnsi="Cambria" w:cs="Tahoma"/>
          <w:bCs/>
          <w:iCs/>
        </w:rPr>
        <w:t>Peningkatan kualitas pendidikan dan alumni IPDN.</w:t>
      </w:r>
    </w:p>
    <w:p>
      <w:pPr>
        <w:pStyle w:val="15"/>
        <w:numPr>
          <w:ilvl w:val="0"/>
          <w:numId w:val="8"/>
        </w:numPr>
        <w:spacing w:after="0" w:line="276" w:lineRule="auto"/>
        <w:ind w:left="426" w:hanging="426"/>
        <w:contextualSpacing w:val="0"/>
        <w:jc w:val="both"/>
        <w:rPr>
          <w:rFonts w:ascii="Cambria" w:hAnsi="Cambria" w:cs="Tahoma"/>
          <w:bCs/>
          <w:iCs/>
        </w:rPr>
      </w:pPr>
      <w:r>
        <w:rPr>
          <w:rFonts w:ascii="Cambria" w:hAnsi="Cambria" w:cs="Tahoma"/>
        </w:rPr>
        <w:t>Penguatan Produk dan Bantuan Hukum dalam Penyelenggaraan Pemerintahan Daerah, melalui strategi :</w:t>
      </w:r>
    </w:p>
    <w:p>
      <w:pPr>
        <w:pStyle w:val="15"/>
        <w:numPr>
          <w:ilvl w:val="0"/>
          <w:numId w:val="19"/>
        </w:numPr>
        <w:spacing w:after="0" w:line="276" w:lineRule="auto"/>
        <w:contextualSpacing w:val="0"/>
        <w:jc w:val="both"/>
        <w:rPr>
          <w:rFonts w:ascii="Cambria" w:hAnsi="Cambria" w:cs="Tahoma"/>
          <w:bCs/>
          <w:iCs/>
        </w:rPr>
      </w:pPr>
      <w:r>
        <w:rPr>
          <w:rFonts w:ascii="Cambria" w:hAnsi="Cambria" w:cs="Tahoma"/>
        </w:rPr>
        <w:t>Peningkatan kapasitas perancang peraturan perundang-undangan;</w:t>
      </w:r>
    </w:p>
    <w:p>
      <w:pPr>
        <w:pStyle w:val="15"/>
        <w:numPr>
          <w:ilvl w:val="0"/>
          <w:numId w:val="19"/>
        </w:numPr>
        <w:spacing w:after="0" w:line="276" w:lineRule="auto"/>
        <w:contextualSpacing w:val="0"/>
        <w:jc w:val="both"/>
        <w:rPr>
          <w:rFonts w:ascii="Cambria" w:hAnsi="Cambria" w:cs="Tahoma"/>
          <w:bCs/>
          <w:iCs/>
        </w:rPr>
      </w:pPr>
      <w:r>
        <w:rPr>
          <w:rFonts w:ascii="Cambria" w:hAnsi="Cambria" w:cs="Tahoma"/>
        </w:rPr>
        <w:t>Peningkatan kualitas peraturan perundang-undangan pusat dan daerah;</w:t>
      </w:r>
    </w:p>
    <w:p>
      <w:pPr>
        <w:pStyle w:val="15"/>
        <w:numPr>
          <w:ilvl w:val="0"/>
          <w:numId w:val="19"/>
        </w:numPr>
        <w:spacing w:after="0" w:line="276" w:lineRule="auto"/>
        <w:contextualSpacing w:val="0"/>
        <w:jc w:val="both"/>
        <w:rPr>
          <w:rFonts w:ascii="Cambria" w:hAnsi="Cambria" w:cs="Tahoma"/>
          <w:bCs/>
          <w:iCs/>
        </w:rPr>
      </w:pPr>
      <w:r>
        <w:rPr>
          <w:rFonts w:ascii="Cambria" w:hAnsi="Cambria" w:cs="Tahoma"/>
        </w:rPr>
        <w:t>Peningkatan kapasitas aparatur dalam penanganan perkara;</w:t>
      </w:r>
    </w:p>
    <w:p>
      <w:pPr>
        <w:pStyle w:val="15"/>
        <w:numPr>
          <w:ilvl w:val="0"/>
          <w:numId w:val="19"/>
        </w:numPr>
        <w:spacing w:after="0" w:line="276" w:lineRule="auto"/>
        <w:contextualSpacing w:val="0"/>
        <w:jc w:val="both"/>
        <w:rPr>
          <w:rFonts w:ascii="Cambria" w:hAnsi="Cambria" w:cs="Tahoma"/>
          <w:bCs/>
          <w:iCs/>
        </w:rPr>
      </w:pPr>
      <w:r>
        <w:rPr>
          <w:rFonts w:ascii="Cambria" w:hAnsi="Cambria" w:cs="Tahoma"/>
        </w:rPr>
        <w:t>Peningkatan kualitas dokumentasi dan informasi hukum;</w:t>
      </w:r>
    </w:p>
    <w:p>
      <w:pPr>
        <w:pStyle w:val="15"/>
        <w:numPr>
          <w:ilvl w:val="0"/>
          <w:numId w:val="19"/>
        </w:numPr>
        <w:spacing w:after="0" w:line="276" w:lineRule="auto"/>
        <w:ind w:left="720" w:hanging="294"/>
        <w:contextualSpacing w:val="0"/>
        <w:jc w:val="both"/>
        <w:rPr>
          <w:rFonts w:ascii="Cambria" w:hAnsi="Cambria" w:cs="Tahoma"/>
          <w:bCs/>
          <w:iCs/>
        </w:rPr>
      </w:pPr>
      <w:r>
        <w:rPr>
          <w:rFonts w:ascii="Cambria" w:hAnsi="Cambria" w:cs="Tahoma"/>
        </w:rPr>
        <w:t>Peningkatan kualitas aparatur dalam memberikan konsultasi dan pendapat hukum</w:t>
      </w:r>
    </w:p>
    <w:p>
      <w:pPr>
        <w:spacing w:before="160" w:after="120" w:line="276" w:lineRule="auto"/>
        <w:ind w:firstLine="720"/>
        <w:jc w:val="both"/>
        <w:rPr>
          <w:rFonts w:ascii="Cambria" w:hAnsi="Cambria" w:cs="Tahoma"/>
        </w:rPr>
      </w:pPr>
      <w:r>
        <w:rPr>
          <w:rFonts w:ascii="Cambria" w:hAnsi="Cambria" w:cs="Tahoma"/>
        </w:rPr>
        <w:t>Dalam rangka mencapai visi, misi, tujuan dan sasaran strategis, telah ditetapkan indikator-indikator sebagai pengukur capaian kinerja yang direncanakan. Indikator dimaksud baik berupa indikator program maupun indikator kegiatan. Rincian indikator dan target pada masing-masing program dan kegiatan, sebagaimana disampaikan pada lampiran Renstra ini. Adapun untuk mengetahui tingkat keberhasilan pencapaian, setiap sasaran strategis dan Program diukur dengan Indikator Kinerja Sasaran Strategis dan Indikator Kinerja Program.</w:t>
      </w:r>
    </w:p>
    <w:p>
      <w:pPr>
        <w:spacing w:after="0" w:line="240" w:lineRule="auto"/>
        <w:jc w:val="center"/>
        <w:rPr>
          <w:rFonts w:ascii="Cambria" w:hAnsi="Cambria" w:cs="Tahoma"/>
          <w:b/>
        </w:rPr>
      </w:pPr>
      <w:r>
        <w:rPr>
          <w:rFonts w:ascii="Cambria" w:hAnsi="Cambria" w:cs="Tahoma"/>
          <w:b/>
        </w:rPr>
        <w:t>Tabel 3.3</w:t>
      </w:r>
    </w:p>
    <w:p>
      <w:pPr>
        <w:spacing w:after="0" w:line="240" w:lineRule="auto"/>
        <w:jc w:val="center"/>
        <w:rPr>
          <w:rFonts w:ascii="Cambria" w:hAnsi="Cambria" w:cs="Tahoma"/>
          <w:b/>
        </w:rPr>
      </w:pPr>
      <w:r>
        <w:rPr>
          <w:rFonts w:ascii="Cambria" w:hAnsi="Cambria" w:cs="Tahoma"/>
          <w:b/>
        </w:rPr>
        <w:t xml:space="preserve">Indikator-indikator Pengukur Capaian Kinerja </w:t>
      </w:r>
    </w:p>
    <w:p>
      <w:pPr>
        <w:spacing w:after="0" w:line="240" w:lineRule="auto"/>
        <w:jc w:val="center"/>
        <w:rPr>
          <w:rFonts w:ascii="Cambria" w:hAnsi="Cambria" w:cs="Tahoma"/>
        </w:rPr>
      </w:pPr>
      <w:r>
        <w:rPr>
          <w:rFonts w:ascii="Cambria" w:hAnsi="Cambria" w:cs="Tahoma"/>
          <w:b/>
        </w:rPr>
        <w:t>Biro Administrasi Pengadaan dan Pengelolaan Barang Milik Daerah</w:t>
      </w:r>
    </w:p>
    <w:p>
      <w:pPr>
        <w:spacing w:before="160" w:after="120" w:line="276" w:lineRule="auto"/>
        <w:jc w:val="center"/>
        <w:rPr>
          <w:rFonts w:ascii="Cambria" w:hAnsi="Cambria" w:cs="Tahoma"/>
          <w:sz w:val="10"/>
          <w:szCs w:val="10"/>
        </w:rPr>
      </w:pPr>
    </w:p>
    <w:tbl>
      <w:tblPr>
        <w:tblStyle w:val="7"/>
        <w:tblW w:w="91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989"/>
        <w:gridCol w:w="2806"/>
        <w:gridCol w:w="1112"/>
        <w:gridCol w:w="1134"/>
        <w:gridCol w:w="1486"/>
        <w:gridCol w:w="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blHeader/>
          <w:jc w:val="center"/>
        </w:trPr>
        <w:tc>
          <w:tcPr>
            <w:tcW w:w="558" w:type="dxa"/>
            <w:tcBorders>
              <w:bottom w:val="single" w:color="auto" w:sz="4" w:space="0"/>
            </w:tcBorders>
            <w:shd w:val="clear" w:color="auto" w:fill="auto"/>
            <w:vAlign w:val="center"/>
          </w:tcPr>
          <w:p>
            <w:pPr>
              <w:spacing w:after="0" w:line="276" w:lineRule="auto"/>
              <w:jc w:val="center"/>
              <w:rPr>
                <w:rFonts w:ascii="Cambria" w:hAnsi="Cambria" w:cs="Tahoma"/>
                <w:sz w:val="16"/>
                <w:szCs w:val="16"/>
              </w:rPr>
            </w:pPr>
            <w:r>
              <w:rPr>
                <w:rFonts w:ascii="Cambria" w:hAnsi="Cambria" w:cs="Tahoma"/>
                <w:sz w:val="16"/>
                <w:szCs w:val="16"/>
              </w:rPr>
              <w:t>No</w:t>
            </w:r>
          </w:p>
        </w:tc>
        <w:tc>
          <w:tcPr>
            <w:tcW w:w="1989" w:type="dxa"/>
            <w:shd w:val="clear" w:color="auto" w:fill="auto"/>
            <w:vAlign w:val="center"/>
          </w:tcPr>
          <w:p>
            <w:pPr>
              <w:spacing w:after="0" w:line="276" w:lineRule="auto"/>
              <w:jc w:val="center"/>
              <w:rPr>
                <w:rFonts w:ascii="Cambria" w:hAnsi="Cambria" w:cs="Tahoma"/>
                <w:sz w:val="16"/>
                <w:szCs w:val="16"/>
              </w:rPr>
            </w:pPr>
            <w:r>
              <w:rPr>
                <w:rFonts w:ascii="Cambria" w:hAnsi="Cambria" w:cs="Tahoma"/>
                <w:sz w:val="16"/>
                <w:szCs w:val="16"/>
              </w:rPr>
              <w:t>Tujuan/ Sasaran Strategis</w:t>
            </w:r>
          </w:p>
        </w:tc>
        <w:tc>
          <w:tcPr>
            <w:tcW w:w="2806" w:type="dxa"/>
            <w:shd w:val="clear" w:color="auto" w:fill="auto"/>
            <w:vAlign w:val="center"/>
          </w:tcPr>
          <w:p>
            <w:pPr>
              <w:spacing w:after="0" w:line="276" w:lineRule="auto"/>
              <w:jc w:val="center"/>
              <w:rPr>
                <w:rFonts w:ascii="Cambria" w:hAnsi="Cambria" w:cs="Tahoma"/>
                <w:sz w:val="16"/>
                <w:szCs w:val="16"/>
              </w:rPr>
            </w:pPr>
            <w:r>
              <w:rPr>
                <w:rFonts w:ascii="Cambria" w:hAnsi="Cambria" w:cs="Tahoma"/>
                <w:sz w:val="16"/>
                <w:szCs w:val="16"/>
              </w:rPr>
              <w:t>Indikator</w:t>
            </w:r>
          </w:p>
        </w:tc>
        <w:tc>
          <w:tcPr>
            <w:tcW w:w="1112" w:type="dxa"/>
            <w:shd w:val="clear" w:color="auto" w:fill="auto"/>
          </w:tcPr>
          <w:p>
            <w:pPr>
              <w:spacing w:after="0" w:line="276" w:lineRule="auto"/>
              <w:jc w:val="center"/>
              <w:rPr>
                <w:rFonts w:ascii="Cambria" w:hAnsi="Cambria" w:cs="Tahoma"/>
                <w:sz w:val="16"/>
                <w:szCs w:val="16"/>
              </w:rPr>
            </w:pPr>
            <w:r>
              <w:rPr>
                <w:rFonts w:ascii="Cambria" w:hAnsi="Cambria" w:cs="Tahoma"/>
                <w:sz w:val="16"/>
                <w:szCs w:val="16"/>
              </w:rPr>
              <w:t>Target 2015</w:t>
            </w:r>
          </w:p>
        </w:tc>
        <w:tc>
          <w:tcPr>
            <w:tcW w:w="1134" w:type="dxa"/>
            <w:shd w:val="clear" w:color="auto" w:fill="auto"/>
            <w:vAlign w:val="center"/>
          </w:tcPr>
          <w:p>
            <w:pPr>
              <w:spacing w:after="0" w:line="276" w:lineRule="auto"/>
              <w:jc w:val="center"/>
              <w:rPr>
                <w:rFonts w:ascii="Cambria" w:hAnsi="Cambria" w:cs="Tahoma"/>
                <w:sz w:val="16"/>
                <w:szCs w:val="16"/>
              </w:rPr>
            </w:pPr>
            <w:r>
              <w:rPr>
                <w:rFonts w:ascii="Cambria" w:hAnsi="Cambria" w:cs="Tahoma"/>
                <w:sz w:val="16"/>
                <w:szCs w:val="16"/>
              </w:rPr>
              <w:t>Target 2019</w:t>
            </w:r>
          </w:p>
        </w:tc>
        <w:tc>
          <w:tcPr>
            <w:tcW w:w="1486" w:type="dxa"/>
            <w:shd w:val="clear" w:color="auto" w:fill="auto"/>
            <w:vAlign w:val="center"/>
          </w:tcPr>
          <w:p>
            <w:pPr>
              <w:spacing w:after="0" w:line="276" w:lineRule="auto"/>
              <w:jc w:val="center"/>
              <w:rPr>
                <w:rFonts w:ascii="Cambria" w:hAnsi="Cambria" w:cs="Tahoma"/>
                <w:sz w:val="16"/>
                <w:szCs w:val="16"/>
              </w:rPr>
            </w:pPr>
            <w:r>
              <w:rPr>
                <w:rFonts w:ascii="Cambria" w:hAnsi="Cambria" w:cs="Tahoma"/>
                <w:sz w:val="16"/>
                <w:szCs w:val="16"/>
              </w:rPr>
              <w:t>Unit Pelaksana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8" w:type="dxa"/>
            <w:tcBorders>
              <w:bottom w:val="nil"/>
            </w:tcBorders>
            <w:shd w:val="clear" w:color="auto" w:fill="auto"/>
          </w:tcPr>
          <w:p>
            <w:pPr>
              <w:spacing w:before="40" w:after="40" w:line="276" w:lineRule="auto"/>
              <w:jc w:val="center"/>
              <w:rPr>
                <w:rFonts w:ascii="Cambria" w:hAnsi="Cambria" w:cs="Tahoma"/>
                <w:sz w:val="16"/>
                <w:szCs w:val="16"/>
              </w:rPr>
            </w:pPr>
            <w:r>
              <w:rPr>
                <w:rFonts w:ascii="Cambria" w:hAnsi="Cambria" w:cs="Tahoma"/>
                <w:sz w:val="16"/>
                <w:szCs w:val="16"/>
              </w:rPr>
              <w:t>1</w:t>
            </w:r>
          </w:p>
        </w:tc>
        <w:tc>
          <w:tcPr>
            <w:tcW w:w="8568" w:type="dxa"/>
            <w:gridSpan w:val="6"/>
            <w:shd w:val="clear" w:color="auto" w:fill="auto"/>
          </w:tcPr>
          <w:p>
            <w:pPr>
              <w:spacing w:before="40" w:after="40" w:line="276" w:lineRule="auto"/>
              <w:jc w:val="both"/>
              <w:rPr>
                <w:rFonts w:ascii="Cambria" w:hAnsi="Cambria" w:cs="Tahoma"/>
                <w:sz w:val="16"/>
                <w:szCs w:val="16"/>
              </w:rPr>
            </w:pPr>
            <w:r>
              <w:rPr>
                <w:rFonts w:ascii="Cambria" w:hAnsi="Cambria" w:cs="Tahoma"/>
                <w:sz w:val="16"/>
                <w:szCs w:val="16"/>
              </w:rPr>
              <w:t>Kokohnya persatuan dan kesatuan serta karakter bangsa melalui pengamalan nilai-nilai Pancasila, UUD 1945, dan kebhinekaan sebagai tatanan dan perilaku hidup berbangsa dan bernegara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rHeight w:val="669" w:hRule="atLeast"/>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Terpeliharanya persatuan dan kesatuan bangsa </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Jumlah peristiwa konflik sosial </w:t>
            </w:r>
          </w:p>
        </w:tc>
        <w:tc>
          <w:tcPr>
            <w:tcW w:w="1112" w:type="dxa"/>
            <w:shd w:val="clear" w:color="auto" w:fill="auto"/>
          </w:tcPr>
          <w:p>
            <w:pPr>
              <w:spacing w:after="0" w:line="276" w:lineRule="auto"/>
              <w:rPr>
                <w:rFonts w:ascii="Cambria" w:hAnsi="Cambria" w:cs="Tahoma"/>
                <w:sz w:val="16"/>
                <w:szCs w:val="16"/>
              </w:rPr>
            </w:pPr>
            <w:r>
              <w:rPr>
                <w:rFonts w:ascii="Cambria" w:hAnsi="Cambria" w:cs="Tahoma"/>
                <w:sz w:val="16"/>
                <w:szCs w:val="16"/>
              </w:rPr>
              <w:t>≤ 83 peristiwa</w:t>
            </w:r>
          </w:p>
        </w:tc>
        <w:tc>
          <w:tcPr>
            <w:tcW w:w="1134" w:type="dxa"/>
            <w:shd w:val="clear" w:color="auto" w:fill="auto"/>
          </w:tcPr>
          <w:p>
            <w:pPr>
              <w:spacing w:after="0" w:line="276" w:lineRule="auto"/>
              <w:rPr>
                <w:rFonts w:ascii="Cambria" w:hAnsi="Cambria" w:cs="Tahoma"/>
                <w:sz w:val="16"/>
                <w:szCs w:val="16"/>
              </w:rPr>
            </w:pPr>
            <w:r>
              <w:rPr>
                <w:rFonts w:ascii="Cambria" w:hAnsi="Cambria" w:cs="Tahoma"/>
                <w:sz w:val="16"/>
                <w:szCs w:val="16"/>
              </w:rPr>
              <w:t>≤ 83 peristiwa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Ditjen Politik dan Pemerintahan </w:t>
            </w:r>
          </w:p>
          <w:p>
            <w:pPr>
              <w:spacing w:after="0" w:line="276" w:lineRule="auto"/>
              <w:jc w:val="both"/>
              <w:rPr>
                <w:rFonts w:ascii="Cambria" w:hAnsi="Cambria" w:cs="Tahoma"/>
                <w:sz w:val="16"/>
                <w:szCs w:val="16"/>
              </w:rPr>
            </w:pPr>
            <w:r>
              <w:rPr>
                <w:rFonts w:ascii="Cambria" w:hAnsi="Cambria" w:cs="Tahoma"/>
                <w:sz w:val="16"/>
                <w:szCs w:val="16"/>
              </w:rPr>
              <w:t>Umum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restart"/>
            <w:shd w:val="clear" w:color="auto" w:fill="auto"/>
          </w:tcPr>
          <w:p>
            <w:pPr>
              <w:spacing w:after="0" w:line="276" w:lineRule="auto"/>
              <w:jc w:val="both"/>
              <w:rPr>
                <w:rFonts w:ascii="Cambria" w:hAnsi="Cambria" w:cs="Tahoma"/>
                <w:sz w:val="16"/>
                <w:szCs w:val="16"/>
              </w:rPr>
            </w:pPr>
            <w:r>
              <w:rPr>
                <w:rFonts w:ascii="Cambria" w:hAnsi="Cambria" w:cs="Tahoma"/>
                <w:sz w:val="16"/>
                <w:szCs w:val="16"/>
              </w:rPr>
              <w:t>Terpeliharanya stabilitas politik dalam negeri dalam rangka mewujudkan demokrasi yang berkualitas</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Persentase partisipasi politik masyarakat pada saat pemilu </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73,2%</w:t>
            </w:r>
          </w:p>
          <w:p>
            <w:pPr>
              <w:spacing w:after="0" w:line="276" w:lineRule="auto"/>
              <w:jc w:val="center"/>
              <w:rPr>
                <w:rFonts w:ascii="Cambria" w:hAnsi="Cambria" w:cs="Tahoma"/>
                <w:sz w:val="16"/>
                <w:szCs w:val="16"/>
              </w:rPr>
            </w:pP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77,5%</w:t>
            </w:r>
          </w:p>
          <w:p>
            <w:pPr>
              <w:spacing w:after="0" w:line="276" w:lineRule="auto"/>
              <w:jc w:val="both"/>
              <w:rPr>
                <w:rFonts w:ascii="Cambria" w:hAnsi="Cambria" w:cs="Tahoma"/>
                <w:sz w:val="16"/>
                <w:szCs w:val="16"/>
              </w:rPr>
            </w:pP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Ditjen Politik dan Pemerintahan </w:t>
            </w:r>
          </w:p>
          <w:p>
            <w:pPr>
              <w:spacing w:after="0" w:line="276" w:lineRule="auto"/>
              <w:jc w:val="both"/>
              <w:rPr>
                <w:rFonts w:ascii="Cambria" w:hAnsi="Cambria" w:cs="Tahoma"/>
                <w:sz w:val="16"/>
                <w:szCs w:val="16"/>
              </w:rPr>
            </w:pPr>
            <w:r>
              <w:rPr>
                <w:rFonts w:ascii="Cambria" w:hAnsi="Cambria" w:cs="Tahoma"/>
                <w:sz w:val="16"/>
                <w:szCs w:val="16"/>
              </w:rPr>
              <w:t>Umum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rHeight w:val="691" w:hRule="atLeast"/>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nil"/>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peristiwa konflik berlatar belakang pemilu dan pilkada</w:t>
            </w:r>
          </w:p>
          <w:p>
            <w:pPr>
              <w:spacing w:after="0" w:line="276" w:lineRule="auto"/>
              <w:jc w:val="both"/>
              <w:rPr>
                <w:rFonts w:ascii="Cambria" w:hAnsi="Cambria" w:cs="Tahoma"/>
                <w:sz w:val="16"/>
                <w:szCs w:val="16"/>
              </w:rPr>
            </w:pP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u w:val="single"/>
              </w:rPr>
              <w:t>&lt;</w:t>
            </w:r>
            <w:r>
              <w:rPr>
                <w:rFonts w:ascii="Cambria" w:hAnsi="Cambria" w:cs="Tahoma"/>
                <w:sz w:val="16"/>
                <w:szCs w:val="16"/>
              </w:rPr>
              <w:t xml:space="preserve"> 10 %</w:t>
            </w:r>
          </w:p>
          <w:p>
            <w:pPr>
              <w:spacing w:after="0" w:line="276" w:lineRule="auto"/>
              <w:jc w:val="both"/>
              <w:rPr>
                <w:rFonts w:ascii="Cambria" w:hAnsi="Cambria" w:cs="Tahoma"/>
                <w:sz w:val="16"/>
                <w:szCs w:val="16"/>
              </w:rPr>
            </w:pP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u w:val="single"/>
              </w:rPr>
              <w:t>&lt;</w:t>
            </w:r>
            <w:r>
              <w:rPr>
                <w:rFonts w:ascii="Cambria" w:hAnsi="Cambria" w:cs="Tahoma"/>
                <w:sz w:val="16"/>
                <w:szCs w:val="16"/>
              </w:rPr>
              <w:t xml:space="preserve"> 10 %</w:t>
            </w:r>
          </w:p>
          <w:p>
            <w:pPr>
              <w:spacing w:after="0" w:line="276" w:lineRule="auto"/>
              <w:jc w:val="both"/>
              <w:rPr>
                <w:rFonts w:ascii="Cambria" w:hAnsi="Cambria" w:cs="Tahoma"/>
                <w:sz w:val="16"/>
                <w:szCs w:val="16"/>
              </w:rPr>
            </w:pP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Ditjen Politik dan Pemerintahan </w:t>
            </w:r>
          </w:p>
          <w:p>
            <w:pPr>
              <w:spacing w:after="0" w:line="276" w:lineRule="auto"/>
              <w:jc w:val="both"/>
              <w:rPr>
                <w:rFonts w:ascii="Cambria" w:hAnsi="Cambria" w:cs="Tahoma"/>
                <w:sz w:val="16"/>
                <w:szCs w:val="16"/>
              </w:rPr>
            </w:pPr>
            <w:r>
              <w:rPr>
                <w:rFonts w:ascii="Cambria" w:hAnsi="Cambria" w:cs="Tahoma"/>
                <w:sz w:val="16"/>
                <w:szCs w:val="16"/>
              </w:rPr>
              <w:t>Umum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8" w:type="dxa"/>
            <w:tcBorders>
              <w:bottom w:val="nil"/>
            </w:tcBorders>
            <w:shd w:val="clear" w:color="auto" w:fill="auto"/>
          </w:tcPr>
          <w:p>
            <w:pPr>
              <w:spacing w:before="40" w:after="40" w:line="276" w:lineRule="auto"/>
              <w:jc w:val="center"/>
              <w:rPr>
                <w:rFonts w:ascii="Cambria" w:hAnsi="Cambria" w:cs="Tahoma"/>
                <w:sz w:val="16"/>
                <w:szCs w:val="16"/>
              </w:rPr>
            </w:pPr>
            <w:r>
              <w:rPr>
                <w:rFonts w:ascii="Cambria" w:hAnsi="Cambria" w:cs="Tahoma"/>
                <w:sz w:val="16"/>
                <w:szCs w:val="16"/>
              </w:rPr>
              <w:t>2</w:t>
            </w:r>
          </w:p>
        </w:tc>
        <w:tc>
          <w:tcPr>
            <w:tcW w:w="8568" w:type="dxa"/>
            <w:gridSpan w:val="6"/>
            <w:shd w:val="clear" w:color="auto" w:fill="auto"/>
          </w:tcPr>
          <w:p>
            <w:pPr>
              <w:spacing w:before="40" w:after="60" w:line="276" w:lineRule="auto"/>
              <w:jc w:val="both"/>
              <w:rPr>
                <w:rFonts w:ascii="Cambria" w:hAnsi="Cambria" w:cs="Tahoma"/>
                <w:sz w:val="16"/>
                <w:szCs w:val="16"/>
              </w:rPr>
            </w:pPr>
            <w:r>
              <w:rPr>
                <w:rFonts w:ascii="Cambria" w:hAnsi="Cambria" w:cs="Tahoma"/>
                <w:sz w:val="16"/>
                <w:szCs w:val="16"/>
              </w:rPr>
              <w:t>Peningkatan kualitas penyelenggaraan urusan dan tata kelola pemerintahan di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restart"/>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kualitas pelaksanaan otonomi daerah untuk mencapai kesejahteraan masyarakat dan mendorong pertumbuhan ekonomi daerah</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Tingkat kualitas tata kelola Pemerintah Daerah sesuai dengan ketentuan peraturan perundang-undangan</w:t>
            </w:r>
          </w:p>
        </w:tc>
        <w:tc>
          <w:tcPr>
            <w:tcW w:w="1112" w:type="dxa"/>
            <w:shd w:val="clear" w:color="auto" w:fill="auto"/>
          </w:tcPr>
          <w:p>
            <w:pPr>
              <w:spacing w:after="0" w:line="276" w:lineRule="auto"/>
              <w:jc w:val="center"/>
              <w:rPr>
                <w:rFonts w:ascii="Cambria" w:hAnsi="Cambria" w:cs="Tahoma"/>
                <w:sz w:val="16"/>
                <w:szCs w:val="16"/>
              </w:rPr>
            </w:pPr>
            <w:r>
              <w:rPr>
                <w:rFonts w:ascii="Cambria" w:hAnsi="Cambria" w:cs="Tahoma"/>
                <w:sz w:val="16"/>
                <w:szCs w:val="16"/>
              </w:rPr>
              <w:t>55%</w:t>
            </w:r>
          </w:p>
        </w:tc>
        <w:tc>
          <w:tcPr>
            <w:tcW w:w="1134" w:type="dxa"/>
            <w:shd w:val="clear" w:color="auto" w:fill="auto"/>
          </w:tcPr>
          <w:p>
            <w:pPr>
              <w:spacing w:after="0" w:line="276" w:lineRule="auto"/>
              <w:jc w:val="center"/>
              <w:rPr>
                <w:rFonts w:ascii="Cambria" w:hAnsi="Cambria" w:cs="Tahoma"/>
                <w:sz w:val="16"/>
                <w:szCs w:val="16"/>
              </w:rPr>
            </w:pPr>
            <w:r>
              <w:rPr>
                <w:rFonts w:ascii="Cambria" w:hAnsi="Cambria" w:cs="Tahoma"/>
                <w:sz w:val="16"/>
                <w:szCs w:val="16"/>
              </w:rPr>
              <w:t>80%</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Otda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Persentase kinerja (maksimal) pemerintahan pada daerah otonom baru </w:t>
            </w:r>
          </w:p>
        </w:tc>
        <w:tc>
          <w:tcPr>
            <w:tcW w:w="1112" w:type="dxa"/>
            <w:shd w:val="clear" w:color="auto" w:fill="auto"/>
          </w:tcPr>
          <w:p>
            <w:pPr>
              <w:spacing w:after="0" w:line="276" w:lineRule="auto"/>
              <w:jc w:val="center"/>
              <w:rPr>
                <w:rFonts w:ascii="Cambria" w:hAnsi="Cambria" w:cs="Tahoma"/>
                <w:sz w:val="16"/>
                <w:szCs w:val="16"/>
              </w:rPr>
            </w:pPr>
            <w:r>
              <w:rPr>
                <w:rFonts w:ascii="Cambria" w:hAnsi="Cambria" w:cs="Tahoma"/>
                <w:sz w:val="16"/>
                <w:szCs w:val="16"/>
              </w:rPr>
              <w:t>20%</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70%</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Otda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Perda bermasalah</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350 perda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50 perda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Otda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single" w:color="auto" w:sz="4" w:space="0"/>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single" w:color="auto" w:sz="4" w:space="0"/>
            </w:tcBorders>
            <w:shd w:val="clear" w:color="auto" w:fill="auto"/>
          </w:tcPr>
          <w:p>
            <w:pPr>
              <w:spacing w:after="0" w:line="276" w:lineRule="auto"/>
              <w:jc w:val="both"/>
              <w:rPr>
                <w:rFonts w:ascii="Cambria" w:hAnsi="Cambria" w:cs="Tahoma"/>
                <w:sz w:val="16"/>
                <w:szCs w:val="16"/>
              </w:rPr>
            </w:pPr>
          </w:p>
        </w:tc>
        <w:tc>
          <w:tcPr>
            <w:tcW w:w="280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kelembagaan organisasi perangkat daerah yang ideal</w:t>
            </w:r>
          </w:p>
          <w:p>
            <w:pPr>
              <w:spacing w:after="0" w:line="276" w:lineRule="auto"/>
              <w:jc w:val="both"/>
              <w:rPr>
                <w:rFonts w:ascii="Cambria" w:hAnsi="Cambria" w:cs="Tahoma"/>
                <w:sz w:val="16"/>
                <w:szCs w:val="16"/>
              </w:rPr>
            </w:pPr>
          </w:p>
        </w:tc>
        <w:tc>
          <w:tcPr>
            <w:tcW w:w="1112"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45%</w:t>
            </w:r>
          </w:p>
        </w:tc>
        <w:tc>
          <w:tcPr>
            <w:tcW w:w="1134"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70%</w:t>
            </w:r>
          </w:p>
        </w:tc>
        <w:tc>
          <w:tcPr>
            <w:tcW w:w="148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Otda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single" w:color="auto" w:sz="4" w:space="0"/>
              <w:bottom w:val="nil"/>
            </w:tcBorders>
            <w:shd w:val="clear" w:color="auto" w:fill="auto"/>
          </w:tcPr>
          <w:p>
            <w:pPr>
              <w:spacing w:after="0" w:line="276" w:lineRule="auto"/>
              <w:jc w:val="center"/>
              <w:rPr>
                <w:rFonts w:ascii="Cambria" w:hAnsi="Cambria" w:cs="Tahoma"/>
                <w:sz w:val="16"/>
                <w:szCs w:val="16"/>
              </w:rPr>
            </w:pPr>
          </w:p>
        </w:tc>
        <w:tc>
          <w:tcPr>
            <w:tcW w:w="1989" w:type="dxa"/>
            <w:tcBorders>
              <w:top w:val="single" w:color="auto" w:sz="4" w:space="0"/>
              <w:bottom w:val="single" w:color="auto" w:sz="4" w:space="0"/>
            </w:tcBorders>
            <w:shd w:val="clear" w:color="auto" w:fill="auto"/>
          </w:tcPr>
          <w:p>
            <w:pPr>
              <w:spacing w:after="0" w:line="276" w:lineRule="auto"/>
              <w:jc w:val="both"/>
              <w:rPr>
                <w:rFonts w:ascii="Cambria" w:hAnsi="Cambria" w:cs="Tahoma"/>
                <w:sz w:val="16"/>
                <w:szCs w:val="16"/>
              </w:rPr>
            </w:pPr>
          </w:p>
        </w:tc>
        <w:tc>
          <w:tcPr>
            <w:tcW w:w="2806"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kepala daerah dan wakil kepala daerah, serta pimpinan dan anggota DPRD memiliki kapasitas manajemen dan kepemimpinan daerah</w:t>
            </w:r>
          </w:p>
        </w:tc>
        <w:tc>
          <w:tcPr>
            <w:tcW w:w="1112"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30%</w:t>
            </w:r>
          </w:p>
        </w:tc>
        <w:tc>
          <w:tcPr>
            <w:tcW w:w="1134"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70%</w:t>
            </w:r>
          </w:p>
        </w:tc>
        <w:tc>
          <w:tcPr>
            <w:tcW w:w="1486"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BPSDM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restart"/>
            <w:tcBorders>
              <w:bottom w:val="nil"/>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kualitas pelayanan publik dalam penyelenggaraan pembangunan daerah</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penerapan SPM di Daerah (prov/kab/kota)</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75%</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90%</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Bina Bangda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nil"/>
            </w:tcBorders>
            <w:shd w:val="clear" w:color="auto" w:fill="auto"/>
          </w:tcPr>
          <w:p>
            <w:pPr>
              <w:spacing w:after="0" w:line="276" w:lineRule="auto"/>
              <w:jc w:val="both"/>
              <w:rPr>
                <w:rFonts w:ascii="Cambria" w:hAnsi="Cambria" w:cs="Tahoma"/>
                <w:sz w:val="16"/>
                <w:szCs w:val="16"/>
              </w:rPr>
            </w:pPr>
          </w:p>
        </w:tc>
        <w:tc>
          <w:tcPr>
            <w:tcW w:w="280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daerah yang memenuhi pelayanan Dasar</w:t>
            </w:r>
          </w:p>
        </w:tc>
        <w:tc>
          <w:tcPr>
            <w:tcW w:w="1112"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w:t>
            </w:r>
          </w:p>
        </w:tc>
        <w:tc>
          <w:tcPr>
            <w:tcW w:w="1134"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60%</w:t>
            </w:r>
          </w:p>
        </w:tc>
        <w:tc>
          <w:tcPr>
            <w:tcW w:w="148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Bina Bangda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tcBorders>
              <w:top w:val="nil"/>
              <w:bottom w:val="nil"/>
            </w:tcBorders>
            <w:shd w:val="clear" w:color="auto" w:fill="auto"/>
          </w:tcPr>
          <w:p>
            <w:pPr>
              <w:spacing w:after="0" w:line="276" w:lineRule="auto"/>
              <w:jc w:val="both"/>
              <w:rPr>
                <w:rFonts w:ascii="Cambria" w:hAnsi="Cambria" w:cs="Tahoma"/>
                <w:sz w:val="16"/>
                <w:szCs w:val="16"/>
              </w:rPr>
            </w:pPr>
          </w:p>
        </w:tc>
        <w:tc>
          <w:tcPr>
            <w:tcW w:w="2806"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daerah yang memiliki PTSP yang Prima</w:t>
            </w:r>
          </w:p>
        </w:tc>
        <w:tc>
          <w:tcPr>
            <w:tcW w:w="1112"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34 prov</w:t>
            </w:r>
          </w:p>
        </w:tc>
        <w:tc>
          <w:tcPr>
            <w:tcW w:w="1134"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34 prov dan 204 kab/ kota</w:t>
            </w:r>
          </w:p>
        </w:tc>
        <w:tc>
          <w:tcPr>
            <w:tcW w:w="1486"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Admistrasi Kewilayahan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tcBorders>
              <w:top w:val="nil"/>
              <w:bottom w:val="nil"/>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Penyediaan layanan dasar bidang ketentraman dan ketertiban umum sesuai SPM</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20%</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60%</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Admistrasi Kewilayahan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tcBorders>
              <w:top w:val="nil"/>
              <w:bottom w:val="nil"/>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Penyediaan layanan dasar bidang penanggulangan bencana dan bahaya kebakaran sesuai SPM</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10%</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50%</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Admistrasi Kewilayahan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tcBorders>
              <w:top w:val="nil"/>
              <w:bottom w:val="single" w:color="auto" w:sz="4" w:space="0"/>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pemerintah daerah yang menerapkan inovasi dalam penyelenggaraan pemerintahan, pemberdayaan masyarakat dan pelayanan publik</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100% provinsi</w:t>
            </w:r>
          </w:p>
          <w:p>
            <w:pPr>
              <w:spacing w:after="0" w:line="276" w:lineRule="auto"/>
              <w:jc w:val="both"/>
              <w:rPr>
                <w:rFonts w:ascii="Cambria" w:hAnsi="Cambria" w:cs="Tahoma"/>
                <w:sz w:val="16"/>
                <w:szCs w:val="16"/>
              </w:rPr>
            </w:pPr>
            <w:r>
              <w:rPr>
                <w:rFonts w:ascii="Cambria" w:hAnsi="Cambria" w:cs="Tahoma"/>
                <w:sz w:val="16"/>
                <w:szCs w:val="16"/>
              </w:rPr>
              <w:t>5% Kab/kota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100% provinsi</w:t>
            </w:r>
          </w:p>
          <w:p>
            <w:pPr>
              <w:spacing w:after="0" w:line="276" w:lineRule="auto"/>
              <w:jc w:val="both"/>
              <w:rPr>
                <w:rFonts w:ascii="Cambria" w:hAnsi="Cambria" w:cs="Tahoma"/>
                <w:sz w:val="16"/>
                <w:szCs w:val="16"/>
              </w:rPr>
            </w:pPr>
            <w:r>
              <w:rPr>
                <w:rFonts w:ascii="Cambria" w:hAnsi="Cambria" w:cs="Tahoma"/>
                <w:sz w:val="16"/>
                <w:szCs w:val="16"/>
              </w:rPr>
              <w:t>30% Kab/kota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Badan Litbang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rHeight w:val="477" w:hRule="atLeast"/>
          <w:jc w:val="center"/>
        </w:trPr>
        <w:tc>
          <w:tcPr>
            <w:tcW w:w="558" w:type="dxa"/>
            <w:tcBorders>
              <w:top w:val="nil"/>
              <w:bottom w:val="single" w:color="auto" w:sz="4" w:space="0"/>
            </w:tcBorders>
            <w:shd w:val="clear" w:color="auto" w:fill="auto"/>
          </w:tcPr>
          <w:p>
            <w:pPr>
              <w:spacing w:after="0" w:line="276" w:lineRule="auto"/>
              <w:jc w:val="center"/>
              <w:rPr>
                <w:rFonts w:ascii="Cambria" w:hAnsi="Cambria" w:cs="Tahoma"/>
                <w:sz w:val="16"/>
                <w:szCs w:val="16"/>
              </w:rPr>
            </w:pPr>
          </w:p>
        </w:tc>
        <w:tc>
          <w:tcPr>
            <w:tcW w:w="1989"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Menguatnya peran Gubernur sebagai Wakil Pemerintah dalam pelaksanaan koordinasi pembinaan dan pengawasan penyelenggaraan pemerintahan di daerah</w:t>
            </w:r>
          </w:p>
        </w:tc>
        <w:tc>
          <w:tcPr>
            <w:tcW w:w="280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Persentase kinerja peran Gubernur sebagai Wakil Pemerintah </w:t>
            </w:r>
          </w:p>
        </w:tc>
        <w:tc>
          <w:tcPr>
            <w:tcW w:w="1112"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50% (berkinerja baik)</w:t>
            </w:r>
          </w:p>
        </w:tc>
        <w:tc>
          <w:tcPr>
            <w:tcW w:w="1134"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70% (berkinerja baik)</w:t>
            </w:r>
          </w:p>
        </w:tc>
        <w:tc>
          <w:tcPr>
            <w:tcW w:w="148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Admistrasi Kewilayahan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8" w:type="dxa"/>
            <w:tcBorders>
              <w:top w:val="single" w:color="auto" w:sz="4" w:space="0"/>
              <w:bottom w:val="nil"/>
            </w:tcBorders>
            <w:shd w:val="clear" w:color="auto" w:fill="auto"/>
          </w:tcPr>
          <w:p>
            <w:pPr>
              <w:spacing w:before="60" w:after="60" w:line="276" w:lineRule="auto"/>
              <w:jc w:val="center"/>
              <w:rPr>
                <w:rFonts w:ascii="Cambria" w:hAnsi="Cambria" w:cs="Tahoma"/>
                <w:sz w:val="16"/>
                <w:szCs w:val="16"/>
              </w:rPr>
            </w:pPr>
            <w:r>
              <w:rPr>
                <w:rFonts w:ascii="Cambria" w:hAnsi="Cambria" w:cs="Tahoma"/>
                <w:sz w:val="16"/>
                <w:szCs w:val="16"/>
              </w:rPr>
              <w:t>3</w:t>
            </w:r>
          </w:p>
        </w:tc>
        <w:tc>
          <w:tcPr>
            <w:tcW w:w="8568" w:type="dxa"/>
            <w:gridSpan w:val="6"/>
            <w:tcBorders>
              <w:top w:val="single" w:color="auto" w:sz="4" w:space="0"/>
            </w:tcBorders>
            <w:shd w:val="clear" w:color="auto" w:fill="auto"/>
          </w:tcPr>
          <w:p>
            <w:pPr>
              <w:spacing w:before="60" w:after="60" w:line="276" w:lineRule="auto"/>
              <w:jc w:val="both"/>
              <w:rPr>
                <w:rFonts w:ascii="Cambria" w:hAnsi="Cambria" w:cs="Tahoma"/>
                <w:sz w:val="16"/>
                <w:szCs w:val="16"/>
              </w:rPr>
            </w:pPr>
            <w:r>
              <w:rPr>
                <w:rFonts w:ascii="Cambria" w:hAnsi="Cambria" w:cs="Tahoma"/>
                <w:sz w:val="16"/>
                <w:szCs w:val="16"/>
              </w:rPr>
              <w:t>Peningkatan kualitas pengelolaan keuangan pemerintah daerah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restart"/>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kualitas pengelolaan keuangan daerah yang partisipatif, transparan, efektif, efisien, akuntabel dan kompetitif</w:t>
            </w:r>
          </w:p>
          <w:p>
            <w:pPr>
              <w:spacing w:line="276" w:lineRule="auto"/>
              <w:rPr>
                <w:rFonts w:ascii="Cambria" w:hAnsi="Cambria" w:cs="Tahoma"/>
                <w:sz w:val="16"/>
                <w:szCs w:val="16"/>
              </w:rPr>
            </w:pPr>
          </w:p>
          <w:p>
            <w:pPr>
              <w:spacing w:line="276" w:lineRule="auto"/>
              <w:rPr>
                <w:rFonts w:ascii="Cambria" w:hAnsi="Cambria" w:cs="Tahoma"/>
                <w:sz w:val="16"/>
                <w:szCs w:val="16"/>
              </w:rPr>
            </w:pPr>
          </w:p>
          <w:p>
            <w:pPr>
              <w:spacing w:line="276" w:lineRule="auto"/>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Daerah yang belanja APBD nya berorientasi pada pelayanan dasar masyarakat</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15%</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25%</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Bina Keuda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Provinsi/Kab/Kota yang menetapkan Perda tentang  APBD Provinsi/Kab/Kota yang tepat waktu</w:t>
            </w:r>
            <w:r>
              <w:rPr>
                <w:rFonts w:ascii="Cambria" w:hAnsi="Cambria" w:cs="Tahoma"/>
                <w:sz w:val="16"/>
                <w:szCs w:val="16"/>
              </w:rPr>
              <w:tab/>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30 Provinsi, 250 Kab/Kota</w:t>
            </w:r>
          </w:p>
          <w:p>
            <w:pPr>
              <w:spacing w:after="0" w:line="276" w:lineRule="auto"/>
              <w:jc w:val="both"/>
              <w:rPr>
                <w:rFonts w:ascii="Cambria" w:hAnsi="Cambria" w:cs="Tahoma"/>
                <w:sz w:val="16"/>
                <w:szCs w:val="16"/>
              </w:rPr>
            </w:pP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30 Provinsi, 300 Kab/Kota</w:t>
            </w:r>
          </w:p>
          <w:p>
            <w:pPr>
              <w:spacing w:after="0" w:line="276" w:lineRule="auto"/>
              <w:jc w:val="both"/>
              <w:rPr>
                <w:rFonts w:ascii="Cambria" w:hAnsi="Cambria" w:cs="Tahoma"/>
                <w:sz w:val="16"/>
                <w:szCs w:val="16"/>
              </w:rPr>
            </w:pPr>
          </w:p>
        </w:tc>
        <w:tc>
          <w:tcPr>
            <w:tcW w:w="1486" w:type="dxa"/>
            <w:shd w:val="clear" w:color="auto" w:fill="auto"/>
          </w:tcPr>
          <w:p>
            <w:pPr>
              <w:spacing w:line="276" w:lineRule="auto"/>
              <w:rPr>
                <w:rFonts w:ascii="Cambria" w:hAnsi="Cambria"/>
                <w:sz w:val="16"/>
                <w:szCs w:val="16"/>
              </w:rPr>
            </w:pPr>
            <w:r>
              <w:rPr>
                <w:rFonts w:ascii="Cambria" w:hAnsi="Cambria" w:cs="Tahoma"/>
                <w:sz w:val="16"/>
                <w:szCs w:val="16"/>
              </w:rPr>
              <w:t>Ditjen Bina Keuda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prov/Kab/Kota yang menetapkan  Perda pertanggungjawaban pelaksanaan APBD yang disahkan secara tepat waktu</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30 Provinsi, 250 Kab/Kota</w:t>
            </w:r>
          </w:p>
          <w:p>
            <w:pPr>
              <w:spacing w:after="0" w:line="276" w:lineRule="auto"/>
              <w:jc w:val="both"/>
              <w:rPr>
                <w:rFonts w:ascii="Cambria" w:hAnsi="Cambria" w:cs="Tahoma"/>
                <w:sz w:val="16"/>
                <w:szCs w:val="16"/>
              </w:rPr>
            </w:pP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30 Provinsi, 300 Kab/Kota</w:t>
            </w:r>
          </w:p>
        </w:tc>
        <w:tc>
          <w:tcPr>
            <w:tcW w:w="1486" w:type="dxa"/>
            <w:shd w:val="clear" w:color="auto" w:fill="auto"/>
          </w:tcPr>
          <w:p>
            <w:pPr>
              <w:spacing w:line="276" w:lineRule="auto"/>
              <w:rPr>
                <w:rFonts w:ascii="Cambria" w:hAnsi="Cambria"/>
                <w:sz w:val="16"/>
                <w:szCs w:val="16"/>
              </w:rPr>
            </w:pPr>
            <w:r>
              <w:rPr>
                <w:rFonts w:ascii="Cambria" w:hAnsi="Cambria" w:cs="Tahoma"/>
                <w:sz w:val="16"/>
                <w:szCs w:val="16"/>
              </w:rPr>
              <w:t>Ditjen Bina Keuda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rHeight w:val="685" w:hRule="atLeast"/>
          <w:jc w:val="center"/>
        </w:trPr>
        <w:tc>
          <w:tcPr>
            <w:tcW w:w="558" w:type="dxa"/>
            <w:tcBorders>
              <w:top w:val="nil"/>
              <w:bottom w:val="single" w:color="auto" w:sz="4" w:space="0"/>
            </w:tcBorders>
            <w:shd w:val="clear" w:color="auto" w:fill="auto"/>
          </w:tcPr>
          <w:p>
            <w:pPr>
              <w:spacing w:after="0" w:line="276" w:lineRule="auto"/>
              <w:rPr>
                <w:rFonts w:ascii="Cambria" w:hAnsi="Cambria" w:cs="Tahoma"/>
                <w:sz w:val="16"/>
                <w:szCs w:val="16"/>
              </w:rPr>
            </w:pPr>
          </w:p>
        </w:tc>
        <w:tc>
          <w:tcPr>
            <w:tcW w:w="1989" w:type="dxa"/>
            <w:vMerge w:val="continue"/>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pemda yang menerapkan akuntansi berbasis akrual</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20 provinsi, 250 Kab/Kota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28 Provinsi, 350 Kab/Kota </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Bina Keuda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8" w:type="dxa"/>
            <w:tcBorders>
              <w:bottom w:val="nil"/>
            </w:tcBorders>
            <w:shd w:val="clear" w:color="auto" w:fill="auto"/>
          </w:tcPr>
          <w:p>
            <w:pPr>
              <w:spacing w:before="60" w:after="60" w:line="276" w:lineRule="auto"/>
              <w:jc w:val="center"/>
              <w:rPr>
                <w:rFonts w:ascii="Cambria" w:hAnsi="Cambria" w:cs="Tahoma"/>
                <w:sz w:val="16"/>
                <w:szCs w:val="16"/>
              </w:rPr>
            </w:pPr>
            <w:r>
              <w:rPr>
                <w:rFonts w:ascii="Cambria" w:hAnsi="Cambria" w:cs="Tahoma"/>
                <w:sz w:val="16"/>
                <w:szCs w:val="16"/>
              </w:rPr>
              <w:t>4</w:t>
            </w:r>
          </w:p>
        </w:tc>
        <w:tc>
          <w:tcPr>
            <w:tcW w:w="8568" w:type="dxa"/>
            <w:gridSpan w:val="6"/>
            <w:shd w:val="clear" w:color="auto" w:fill="auto"/>
          </w:tcPr>
          <w:p>
            <w:pPr>
              <w:spacing w:before="60" w:after="60" w:line="276" w:lineRule="auto"/>
              <w:jc w:val="both"/>
              <w:rPr>
                <w:rFonts w:ascii="Cambria" w:hAnsi="Cambria" w:cs="Tahoma"/>
                <w:sz w:val="16"/>
                <w:szCs w:val="16"/>
              </w:rPr>
            </w:pPr>
            <w:r>
              <w:rPr>
                <w:rFonts w:ascii="Cambria" w:hAnsi="Cambria" w:cs="Tahoma"/>
                <w:sz w:val="16"/>
                <w:szCs w:val="16"/>
              </w:rPr>
              <w:t>Optimalisasi penyelenggaraan pemerintahan desa dalam memberikan pelayanan prima kepada masyarakat dan mendorong percepatan pembangunan desa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restart"/>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kualitas dan akuntabilitas penyelenggaraan pemerintahan desa dalam pelayanan masyarakat</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desa dengan tata kelola pemerintahan desa yang baik</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5.000 desa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40.000 desa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Bina Pemerintahan Desa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nil"/>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desa dengan tata kelola keuangan dan aset yang efektif, transparan dan akuntabel</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5.000 desa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40.000 desa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Bina Pemerintahan Desa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tcBorders>
              <w:top w:val="nil"/>
              <w:bottom w:val="nil"/>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Jumlah desa swasembada</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2.000 desa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10.000 desa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Ditjen Bina Pemerintahan Desa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8" w:type="dxa"/>
            <w:tcBorders>
              <w:bottom w:val="nil"/>
            </w:tcBorders>
            <w:shd w:val="clear" w:color="auto" w:fill="auto"/>
          </w:tcPr>
          <w:p>
            <w:pPr>
              <w:spacing w:before="60" w:after="60" w:line="276" w:lineRule="auto"/>
              <w:jc w:val="center"/>
              <w:rPr>
                <w:rFonts w:ascii="Cambria" w:hAnsi="Cambria" w:cs="Tahoma"/>
                <w:sz w:val="16"/>
                <w:szCs w:val="16"/>
              </w:rPr>
            </w:pPr>
            <w:r>
              <w:rPr>
                <w:rFonts w:ascii="Cambria" w:hAnsi="Cambria" w:cs="Tahoma"/>
                <w:sz w:val="16"/>
                <w:szCs w:val="16"/>
              </w:rPr>
              <w:t>5</w:t>
            </w:r>
          </w:p>
        </w:tc>
        <w:tc>
          <w:tcPr>
            <w:tcW w:w="8568" w:type="dxa"/>
            <w:gridSpan w:val="6"/>
            <w:shd w:val="clear" w:color="auto" w:fill="auto"/>
          </w:tcPr>
          <w:p>
            <w:pPr>
              <w:spacing w:before="60" w:after="60" w:line="276" w:lineRule="auto"/>
              <w:jc w:val="both"/>
              <w:rPr>
                <w:rFonts w:ascii="Cambria" w:hAnsi="Cambria" w:cs="Tahoma"/>
                <w:sz w:val="16"/>
                <w:szCs w:val="16"/>
              </w:rPr>
            </w:pPr>
            <w:r>
              <w:rPr>
                <w:rFonts w:ascii="Cambria" w:hAnsi="Cambria" w:cs="Tahoma"/>
                <w:sz w:val="16"/>
                <w:szCs w:val="16"/>
              </w:rPr>
              <w:t>Peningkatan kualitas pelayanan administrasi kependudukan dan pencatatan sipil, dengan dukungan database yang akurat dan terpercaya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restart"/>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kualitas database kependudukan nasional sebagai dasar penerbitan dokumen kependudukan</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Peningkatkan kualitas pelayanan kependudukan dan pencatatan sipil dengan database kependudukan nasional yang akurat</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34 Provinsi dan 514 Kab/Kota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34 Provinsi dan 514 Kab/Kota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Dukcapil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single" w:color="auto" w:sz="4" w:space="0"/>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single" w:color="auto" w:sz="4" w:space="0"/>
            </w:tcBorders>
            <w:shd w:val="clear" w:color="auto" w:fill="auto"/>
          </w:tcPr>
          <w:p>
            <w:pPr>
              <w:spacing w:after="0" w:line="276" w:lineRule="auto"/>
              <w:jc w:val="both"/>
              <w:rPr>
                <w:rFonts w:ascii="Cambria" w:hAnsi="Cambria" w:cs="Tahoma"/>
                <w:sz w:val="16"/>
                <w:szCs w:val="16"/>
              </w:rPr>
            </w:pPr>
          </w:p>
        </w:tc>
        <w:tc>
          <w:tcPr>
            <w:tcW w:w="280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anak yang memiliki akta kelahiran</w:t>
            </w:r>
          </w:p>
        </w:tc>
        <w:tc>
          <w:tcPr>
            <w:tcW w:w="1112"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75%</w:t>
            </w:r>
          </w:p>
        </w:tc>
        <w:tc>
          <w:tcPr>
            <w:tcW w:w="1134"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85%</w:t>
            </w:r>
          </w:p>
        </w:tc>
        <w:tc>
          <w:tcPr>
            <w:tcW w:w="148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Dukcapil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trHeight w:val="686" w:hRule="atLeast"/>
          <w:jc w:val="center"/>
        </w:trPr>
        <w:tc>
          <w:tcPr>
            <w:tcW w:w="558" w:type="dxa"/>
            <w:tcBorders>
              <w:top w:val="single" w:color="auto" w:sz="4" w:space="0"/>
              <w:bottom w:val="nil"/>
            </w:tcBorders>
            <w:shd w:val="clear" w:color="auto" w:fill="auto"/>
          </w:tcPr>
          <w:p>
            <w:pPr>
              <w:spacing w:after="0" w:line="276" w:lineRule="auto"/>
              <w:jc w:val="center"/>
              <w:rPr>
                <w:rFonts w:ascii="Cambria" w:hAnsi="Cambria" w:cs="Tahoma"/>
                <w:sz w:val="16"/>
                <w:szCs w:val="16"/>
              </w:rPr>
            </w:pPr>
          </w:p>
        </w:tc>
        <w:tc>
          <w:tcPr>
            <w:tcW w:w="1989" w:type="dxa"/>
            <w:tcBorders>
              <w:top w:val="single" w:color="auto" w:sz="4" w:space="0"/>
              <w:bottom w:val="nil"/>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pendayagunaan database kependudukan nasional bagi pelayanan publik dan kepentingan pembangunan nasional</w:t>
            </w:r>
          </w:p>
        </w:tc>
        <w:tc>
          <w:tcPr>
            <w:tcW w:w="2806"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Peningkatan pemanfaatan NIK, Database Kependudukan dan KTP-el oleh lembaga pengguna Pusat</w:t>
            </w:r>
          </w:p>
        </w:tc>
        <w:tc>
          <w:tcPr>
            <w:tcW w:w="1112"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21 lembaga</w:t>
            </w:r>
          </w:p>
        </w:tc>
        <w:tc>
          <w:tcPr>
            <w:tcW w:w="1134"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40 lembaga (kumulatif)</w:t>
            </w:r>
          </w:p>
        </w:tc>
        <w:tc>
          <w:tcPr>
            <w:tcW w:w="1486" w:type="dxa"/>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Dukcapil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rPr>
                <w:rFonts w:ascii="Cambria" w:hAnsi="Cambria" w:cs="Tahoma"/>
                <w:sz w:val="16"/>
                <w:szCs w:val="16"/>
              </w:rPr>
            </w:pPr>
          </w:p>
        </w:tc>
        <w:tc>
          <w:tcPr>
            <w:tcW w:w="1989" w:type="dxa"/>
            <w:tcBorders>
              <w:top w:val="nil"/>
              <w:bottom w:val="nil"/>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Penyediaan DP4 untuk Mendukung Penyelenggaraan Pemilu/Pemilukada Serentak</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269 daerah</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541 daerah (kumulatif)</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Ditjen Dukcapil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8" w:type="dxa"/>
            <w:tcBorders>
              <w:bottom w:val="nil"/>
            </w:tcBorders>
            <w:shd w:val="clear" w:color="auto" w:fill="auto"/>
          </w:tcPr>
          <w:p>
            <w:pPr>
              <w:spacing w:before="60" w:after="60" w:line="276" w:lineRule="auto"/>
              <w:jc w:val="center"/>
              <w:rPr>
                <w:rFonts w:ascii="Cambria" w:hAnsi="Cambria" w:cs="Tahoma"/>
                <w:sz w:val="16"/>
                <w:szCs w:val="16"/>
              </w:rPr>
            </w:pPr>
            <w:r>
              <w:rPr>
                <w:rFonts w:ascii="Cambria" w:hAnsi="Cambria" w:cs="Tahoma"/>
                <w:sz w:val="16"/>
                <w:szCs w:val="16"/>
              </w:rPr>
              <w:t>6</w:t>
            </w:r>
          </w:p>
        </w:tc>
        <w:tc>
          <w:tcPr>
            <w:tcW w:w="8568" w:type="dxa"/>
            <w:gridSpan w:val="6"/>
            <w:shd w:val="clear" w:color="auto" w:fill="auto"/>
          </w:tcPr>
          <w:p>
            <w:pPr>
              <w:spacing w:before="60" w:after="60" w:line="276" w:lineRule="auto"/>
              <w:jc w:val="both"/>
              <w:rPr>
                <w:rFonts w:ascii="Cambria" w:hAnsi="Cambria" w:cs="Tahoma"/>
                <w:sz w:val="16"/>
                <w:szCs w:val="16"/>
              </w:rPr>
            </w:pPr>
            <w:r>
              <w:rPr>
                <w:rFonts w:ascii="Cambria" w:hAnsi="Cambria" w:cs="Tahoma"/>
                <w:sz w:val="16"/>
                <w:szCs w:val="16"/>
              </w:rPr>
              <w:t>Peningkatan tata kelola dan kualitas kelembagaan pemerintahan dalam negeri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restart"/>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kapasitas dan profesionalisme aparatur bidang pemerintahan dalam negeri</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lulusan IPDN dengan nilai baik yang siap menjadi kader pelopor revolusi mental.</w:t>
            </w:r>
          </w:p>
        </w:tc>
        <w:tc>
          <w:tcPr>
            <w:tcW w:w="1112" w:type="dxa"/>
            <w:shd w:val="clear" w:color="auto" w:fill="auto"/>
          </w:tcPr>
          <w:p>
            <w:pPr>
              <w:spacing w:after="0" w:line="276" w:lineRule="auto"/>
              <w:jc w:val="center"/>
              <w:rPr>
                <w:rFonts w:ascii="Cambria" w:hAnsi="Cambria" w:cs="Tahoma"/>
                <w:sz w:val="16"/>
                <w:szCs w:val="16"/>
              </w:rPr>
            </w:pPr>
            <w:r>
              <w:rPr>
                <w:rFonts w:ascii="Cambria" w:hAnsi="Cambria" w:cs="Tahoma"/>
                <w:sz w:val="16"/>
                <w:szCs w:val="16"/>
              </w:rPr>
              <w:t>50% (Identifikasi Awal perumusan kebijakan)</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85% (baik)</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IPDN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nil"/>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Persentase tingkat kepuasan stakeholders terhadap Etos Kerja Alumni</w:t>
            </w:r>
          </w:p>
        </w:tc>
        <w:tc>
          <w:tcPr>
            <w:tcW w:w="1112" w:type="dxa"/>
            <w:shd w:val="clear" w:color="auto" w:fill="auto"/>
          </w:tcPr>
          <w:p>
            <w:pPr>
              <w:spacing w:after="0" w:line="276" w:lineRule="auto"/>
              <w:jc w:val="center"/>
              <w:rPr>
                <w:rFonts w:ascii="Cambria" w:hAnsi="Cambria" w:cs="Tahoma"/>
                <w:sz w:val="16"/>
                <w:szCs w:val="16"/>
              </w:rPr>
            </w:pPr>
            <w:r>
              <w:rPr>
                <w:rFonts w:ascii="Cambria" w:hAnsi="Cambria" w:cs="Tahoma"/>
                <w:sz w:val="16"/>
                <w:szCs w:val="16"/>
              </w:rPr>
              <w:t>65% (baik)</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85% (baik)</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IPDN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tcBorders>
              <w:top w:val="nil"/>
              <w:bottom w:val="single" w:color="auto" w:sz="4" w:space="0"/>
            </w:tcBorders>
            <w:shd w:val="clear" w:color="auto" w:fill="auto"/>
          </w:tcPr>
          <w:p>
            <w:pPr>
              <w:spacing w:after="0" w:line="276" w:lineRule="auto"/>
              <w:jc w:val="both"/>
              <w:rPr>
                <w:rFonts w:ascii="Cambria" w:hAnsi="Cambria" w:cs="Tahoma"/>
                <w:sz w:val="16"/>
                <w:szCs w:val="16"/>
              </w:rPr>
            </w:pP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Peningkatan kompetensi aparatur Kemendagri dan Pemda melalui pengembangan kapasitas SDM</w:t>
            </w:r>
          </w:p>
          <w:p>
            <w:pPr>
              <w:spacing w:after="0" w:line="276" w:lineRule="auto"/>
              <w:jc w:val="both"/>
              <w:rPr>
                <w:rFonts w:ascii="Cambria" w:hAnsi="Cambria" w:cs="Tahoma"/>
                <w:sz w:val="16"/>
                <w:szCs w:val="16"/>
              </w:rPr>
            </w:pP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30%</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80%</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BPSDM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r>
              <w:rPr>
                <w:rFonts w:ascii="Cambria" w:hAnsi="Cambria" w:cs="Tahoma"/>
                <w:sz w:val="16"/>
                <w:szCs w:val="16"/>
              </w:rPr>
              <w:t>7</w:t>
            </w:r>
          </w:p>
        </w:tc>
        <w:tc>
          <w:tcPr>
            <w:tcW w:w="1989" w:type="dxa"/>
            <w:vMerge w:val="restart"/>
            <w:tcBorders>
              <w:top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akuntabilitas pengelolaan keuangan Kementerian Dalam Negeri</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Opini BPK atas Laporan Keuangan Kemendagri</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WTP</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WTP</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Setjen</w:t>
            </w:r>
          </w:p>
          <w:p>
            <w:pPr>
              <w:spacing w:after="0" w:line="276" w:lineRule="auto"/>
              <w:jc w:val="both"/>
              <w:rPr>
                <w:rFonts w:ascii="Cambria" w:hAnsi="Cambria" w:cs="Tahoma"/>
                <w:sz w:val="16"/>
                <w:szCs w:val="16"/>
              </w:rPr>
            </w:pPr>
            <w:r>
              <w:rPr>
                <w:rFonts w:ascii="Cambria" w:hAnsi="Cambria" w:cs="Tahoma"/>
                <w:sz w:val="16"/>
                <w:szCs w:val="16"/>
              </w:rPr>
              <w:t xml:space="preserve">Itjen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single" w:color="auto" w:sz="4" w:space="0"/>
            </w:tcBorders>
            <w:shd w:val="clear" w:color="auto" w:fill="auto"/>
          </w:tcPr>
          <w:p>
            <w:pPr>
              <w:spacing w:after="0" w:line="276" w:lineRule="auto"/>
              <w:jc w:val="both"/>
              <w:rPr>
                <w:rFonts w:ascii="Cambria" w:hAnsi="Cambria" w:cs="Tahoma"/>
                <w:sz w:val="16"/>
                <w:szCs w:val="16"/>
              </w:rPr>
            </w:pPr>
          </w:p>
        </w:tc>
        <w:tc>
          <w:tcPr>
            <w:tcW w:w="280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Nilai Penegakan Integritas - Bebas Korupsi Kemendagri dan Pemerintah Daerah</w:t>
            </w:r>
          </w:p>
        </w:tc>
        <w:tc>
          <w:tcPr>
            <w:tcW w:w="1112"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B (75) - Baik</w:t>
            </w:r>
          </w:p>
        </w:tc>
        <w:tc>
          <w:tcPr>
            <w:tcW w:w="1134"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A (85) – sangat baik</w:t>
            </w:r>
          </w:p>
        </w:tc>
        <w:tc>
          <w:tcPr>
            <w:tcW w:w="148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Itjen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nil"/>
            </w:tcBorders>
            <w:shd w:val="clear" w:color="auto" w:fill="auto"/>
          </w:tcPr>
          <w:p>
            <w:pPr>
              <w:spacing w:after="0" w:line="276" w:lineRule="auto"/>
              <w:jc w:val="center"/>
              <w:rPr>
                <w:rFonts w:ascii="Cambria" w:hAnsi="Cambria" w:cs="Tahoma"/>
                <w:sz w:val="16"/>
                <w:szCs w:val="16"/>
              </w:rPr>
            </w:pPr>
            <w:r>
              <w:rPr>
                <w:rFonts w:ascii="Cambria" w:hAnsi="Cambria" w:cs="Tahoma"/>
                <w:sz w:val="16"/>
                <w:szCs w:val="16"/>
              </w:rPr>
              <w:t>8</w:t>
            </w:r>
          </w:p>
        </w:tc>
        <w:tc>
          <w:tcPr>
            <w:tcW w:w="1989" w:type="dxa"/>
            <w:vMerge w:val="restart"/>
            <w:shd w:val="clear" w:color="auto" w:fill="auto"/>
          </w:tcPr>
          <w:p>
            <w:pPr>
              <w:spacing w:after="0" w:line="276" w:lineRule="auto"/>
              <w:jc w:val="both"/>
              <w:rPr>
                <w:rFonts w:ascii="Cambria" w:hAnsi="Cambria" w:cs="Tahoma"/>
                <w:sz w:val="16"/>
                <w:szCs w:val="16"/>
              </w:rPr>
            </w:pPr>
            <w:r>
              <w:rPr>
                <w:rFonts w:ascii="Cambria" w:hAnsi="Cambria" w:cs="Tahoma"/>
                <w:sz w:val="16"/>
                <w:szCs w:val="16"/>
              </w:rPr>
              <w:t>Meningkatnya kinerja dalam mendukung Reformasi Birokrasi</w:t>
            </w:r>
          </w:p>
        </w:tc>
        <w:tc>
          <w:tcPr>
            <w:tcW w:w="280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Akuntabilitas kinerja Kemendagri</w:t>
            </w:r>
          </w:p>
        </w:tc>
        <w:tc>
          <w:tcPr>
            <w:tcW w:w="1112"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LAPKIN kategori A</w:t>
            </w:r>
          </w:p>
        </w:tc>
        <w:tc>
          <w:tcPr>
            <w:tcW w:w="1134"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LAPKIN kategori A</w:t>
            </w:r>
          </w:p>
        </w:tc>
        <w:tc>
          <w:tcPr>
            <w:tcW w:w="1486" w:type="dxa"/>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Setjen </w:t>
            </w:r>
          </w:p>
          <w:p>
            <w:pPr>
              <w:spacing w:after="0" w:line="276" w:lineRule="auto"/>
              <w:jc w:val="both"/>
              <w:rPr>
                <w:rFonts w:ascii="Cambria" w:hAnsi="Cambria" w:cs="Tahoma"/>
                <w:sz w:val="16"/>
                <w:szCs w:val="16"/>
              </w:rPr>
            </w:pPr>
            <w:r>
              <w:rPr>
                <w:rFonts w:ascii="Cambria" w:hAnsi="Cambria" w:cs="Tahoma"/>
                <w:sz w:val="16"/>
                <w:szCs w:val="16"/>
              </w:rPr>
              <w:t>Itjen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1" w:type="dxa"/>
          <w:jc w:val="center"/>
        </w:trPr>
        <w:tc>
          <w:tcPr>
            <w:tcW w:w="558" w:type="dxa"/>
            <w:tcBorders>
              <w:top w:val="nil"/>
              <w:bottom w:val="single" w:color="auto" w:sz="4" w:space="0"/>
            </w:tcBorders>
            <w:shd w:val="clear" w:color="auto" w:fill="auto"/>
          </w:tcPr>
          <w:p>
            <w:pPr>
              <w:spacing w:after="0" w:line="276" w:lineRule="auto"/>
              <w:jc w:val="center"/>
              <w:rPr>
                <w:rFonts w:ascii="Cambria" w:hAnsi="Cambria" w:cs="Tahoma"/>
                <w:sz w:val="16"/>
                <w:szCs w:val="16"/>
              </w:rPr>
            </w:pPr>
          </w:p>
        </w:tc>
        <w:tc>
          <w:tcPr>
            <w:tcW w:w="1989" w:type="dxa"/>
            <w:vMerge w:val="continue"/>
            <w:tcBorders>
              <w:bottom w:val="single" w:color="auto" w:sz="4" w:space="0"/>
            </w:tcBorders>
            <w:shd w:val="clear" w:color="auto" w:fill="auto"/>
          </w:tcPr>
          <w:p>
            <w:pPr>
              <w:spacing w:after="0" w:line="276" w:lineRule="auto"/>
              <w:jc w:val="both"/>
              <w:rPr>
                <w:rFonts w:ascii="Cambria" w:hAnsi="Cambria" w:cs="Tahoma"/>
                <w:sz w:val="16"/>
                <w:szCs w:val="16"/>
              </w:rPr>
            </w:pPr>
          </w:p>
        </w:tc>
        <w:tc>
          <w:tcPr>
            <w:tcW w:w="280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Indeks reformasi birokrasi Kemendagri</w:t>
            </w:r>
          </w:p>
        </w:tc>
        <w:tc>
          <w:tcPr>
            <w:tcW w:w="1112"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kategori B</w:t>
            </w:r>
          </w:p>
        </w:tc>
        <w:tc>
          <w:tcPr>
            <w:tcW w:w="1134"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kategori A</w:t>
            </w:r>
          </w:p>
        </w:tc>
        <w:tc>
          <w:tcPr>
            <w:tcW w:w="1486" w:type="dxa"/>
            <w:tcBorders>
              <w:bottom w:val="single" w:color="auto" w:sz="4" w:space="0"/>
            </w:tcBorders>
            <w:shd w:val="clear" w:color="auto" w:fill="auto"/>
          </w:tcPr>
          <w:p>
            <w:pPr>
              <w:spacing w:after="0" w:line="276" w:lineRule="auto"/>
              <w:jc w:val="both"/>
              <w:rPr>
                <w:rFonts w:ascii="Cambria" w:hAnsi="Cambria" w:cs="Tahoma"/>
                <w:sz w:val="16"/>
                <w:szCs w:val="16"/>
              </w:rPr>
            </w:pPr>
            <w:r>
              <w:rPr>
                <w:rFonts w:ascii="Cambria" w:hAnsi="Cambria" w:cs="Tahoma"/>
                <w:sz w:val="16"/>
                <w:szCs w:val="16"/>
              </w:rPr>
              <w:t xml:space="preserve">Setjen </w:t>
            </w:r>
          </w:p>
        </w:tc>
      </w:tr>
    </w:tbl>
    <w:p>
      <w:pPr>
        <w:tabs>
          <w:tab w:val="left" w:pos="0"/>
        </w:tabs>
        <w:spacing w:line="276" w:lineRule="auto"/>
        <w:ind w:firstLine="567"/>
        <w:jc w:val="both"/>
        <w:rPr>
          <w:rFonts w:ascii="Cambria" w:hAnsi="Cambria" w:cs="Tahoma"/>
        </w:rPr>
      </w:pPr>
    </w:p>
    <w:p>
      <w:pPr>
        <w:spacing w:after="0" w:line="276" w:lineRule="auto"/>
        <w:ind w:firstLine="720"/>
        <w:jc w:val="both"/>
        <w:rPr>
          <w:rFonts w:ascii="Cambria" w:hAnsi="Cambria" w:cs="Tahoma"/>
          <w:b/>
          <w:i/>
        </w:rPr>
      </w:pPr>
      <w:r>
        <w:rPr>
          <w:rFonts w:ascii="Cambria" w:hAnsi="Cambria" w:cs="Tahoma"/>
        </w:rPr>
        <w:t xml:space="preserve">Pencapaian sasaran jangka menengah Kementerian Dalam Negeri sebagaimana yang telah diuraikan diatas, tidak luput dari adanya factor-faktor penghambat serta factor-faktor pendorong. Sebagaimana dijabarkan pada tabel diatas dari 8 (delapan) sasaran, yang terkait dengan fungsi Biro Administrasi Pengadaan dan Pengelolaan Barang Milik Daerahberada pada tujuan 3 yaitu </w:t>
      </w:r>
      <w:r>
        <w:rPr>
          <w:rFonts w:ascii="Cambria" w:hAnsi="Cambria" w:cs="Tahoma"/>
          <w:b/>
          <w:i/>
        </w:rPr>
        <w:t>Peningkatan kualitas pengelolaan keuangan pemerintah daerah</w:t>
      </w:r>
      <w:r>
        <w:rPr>
          <w:rFonts w:ascii="Cambria" w:hAnsi="Cambria" w:cs="Tahoma"/>
        </w:rPr>
        <w:t xml:space="preserve"> dengan sasaran </w:t>
      </w:r>
      <w:r>
        <w:rPr>
          <w:rFonts w:ascii="Cambria" w:hAnsi="Cambria" w:cs="Tahoma"/>
          <w:b/>
          <w:i/>
        </w:rPr>
        <w:t>Meningkatnya kualitas pengelolaan keuangan daerah yang partisipatif, transparan, efektif, efisien, akuntabel dan kompetitif</w:t>
      </w:r>
      <w:r>
        <w:rPr>
          <w:rFonts w:ascii="Cambria" w:hAnsi="Cambria" w:cs="Tahoma"/>
        </w:rPr>
        <w:t xml:space="preserve"> dan keterkaitan tujuan dan sasaran tersebut dengan fungsi Biro Administrasi Pengadaan dan Pengelolaan Barang Milik Daerah adalah pada indikator ketiga, yaitu </w:t>
      </w:r>
      <w:r>
        <w:rPr>
          <w:rFonts w:ascii="Cambria" w:hAnsi="Cambria" w:cs="Tahoma"/>
          <w:b/>
          <w:i/>
        </w:rPr>
        <w:t xml:space="preserve">Jumlah pemda yang menerapkan akuntansi berbasis akrual. </w:t>
      </w:r>
    </w:p>
    <w:p>
      <w:pPr>
        <w:spacing w:after="0" w:line="276" w:lineRule="auto"/>
        <w:ind w:firstLine="720"/>
        <w:jc w:val="both"/>
        <w:rPr>
          <w:rFonts w:ascii="Cambria" w:hAnsi="Cambria" w:cs="Tahoma"/>
        </w:rPr>
      </w:pPr>
      <w:r>
        <w:rPr>
          <w:rFonts w:ascii="Cambria" w:hAnsi="Cambria" w:cs="Tahoma"/>
        </w:rPr>
        <w:t xml:space="preserve">Salah satu unsur akuntansi pemerintahan berbasis akrual adalah dihitungnya nilai penyusutan pada Aset Tetap sebagai pengurang Umur Ekonomis Aset Tetap tersebut, dimana SKPD penanggungjawab pelaporan nilai Aset Tetap beserta penyusutannya adalah Biro Administrasi Pengadaan dan Pengelolaan Barang Milik Daerah. Dengan kata lain, Biro Administrasi Pengadaan dan Pengelolaan Barang Milik Daerah menjadi salah satu SKPD pendukung indikator kinerja dan sasaran Kementerian Dalam Negeri diatas. </w:t>
      </w:r>
    </w:p>
    <w:p>
      <w:pPr>
        <w:spacing w:before="120" w:line="276" w:lineRule="auto"/>
        <w:ind w:firstLine="540"/>
        <w:jc w:val="both"/>
        <w:rPr>
          <w:rFonts w:ascii="Cambria" w:hAnsi="Cambria" w:cs="Tahoma"/>
        </w:rPr>
      </w:pPr>
      <w:r>
        <w:rPr>
          <w:rFonts w:ascii="Cambria" w:hAnsi="Cambria" w:cs="Tahoma"/>
        </w:rPr>
        <w:t>Faktor pendorong dan penghambat sasaran apabila diimplementasikan pada Biro Administrasi Pengadaan dan Pengelolaan Barang Milik Daerah tergambar pada table berikut :</w:t>
      </w:r>
    </w:p>
    <w:p>
      <w:pPr>
        <w:spacing w:after="0" w:line="276" w:lineRule="auto"/>
        <w:jc w:val="center"/>
        <w:rPr>
          <w:rFonts w:ascii="Cambria" w:hAnsi="Cambria" w:cs="Tahoma"/>
          <w:b/>
        </w:rPr>
      </w:pPr>
      <w:r>
        <w:rPr>
          <w:rFonts w:ascii="Cambria" w:hAnsi="Cambria" w:cs="Tahoma"/>
          <w:b/>
        </w:rPr>
        <w:t>Tabel 3.4</w:t>
      </w:r>
    </w:p>
    <w:p>
      <w:pPr>
        <w:spacing w:after="0" w:line="276" w:lineRule="auto"/>
        <w:jc w:val="center"/>
        <w:rPr>
          <w:rFonts w:ascii="Cambria" w:hAnsi="Cambria" w:cs="Tahoma"/>
          <w:b/>
        </w:rPr>
      </w:pPr>
      <w:r>
        <w:rPr>
          <w:rFonts w:ascii="Cambria" w:hAnsi="Cambria" w:cs="Tahoma"/>
          <w:b/>
        </w:rPr>
        <w:t>Permasalahan Pelayanan Biro Administrasi Pengadaan dan Pengelolaan BMD Berdasarkan Sasaran Renstra Kemendagri Beserta Faktor Penghambat dan Pendorong</w:t>
      </w:r>
    </w:p>
    <w:p>
      <w:pPr>
        <w:spacing w:before="120" w:line="276" w:lineRule="auto"/>
        <w:ind w:left="90"/>
        <w:jc w:val="center"/>
        <w:rPr>
          <w:rFonts w:ascii="Cambria" w:hAnsi="Cambria" w:cs="Tahoma"/>
        </w:rPr>
      </w:pPr>
      <w:bookmarkStart w:id="0" w:name="_MON_1585373141"/>
      <w:bookmarkEnd w:id="0"/>
      <w:r>
        <w:rPr>
          <w:rFonts w:ascii="Cambria" w:hAnsi="Cambria" w:cs="Tahoma"/>
        </w:rPr>
        <w:object>
          <v:shape id="_x0000_i1026" o:spt="75" alt="" type="#_x0000_t75" style="height:104.95pt;width:370.4pt;" o:ole="t" filled="f" o:preferrelative="t" stroked="f" coordsize="21600,21600">
            <v:path/>
            <v:fill on="f" focussize="0,0"/>
            <v:stroke on="f"/>
            <v:imagedata r:id="rId13" o:title=""/>
            <o:lock v:ext="edit" aspectratio="t"/>
            <w10:wrap type="none"/>
            <w10:anchorlock/>
          </v:shape>
          <o:OLEObject Type="Embed" ProgID="Excel.Sheet.8" ShapeID="_x0000_i1026" DrawAspect="Content" ObjectID="_1468075727" r:id="rId12">
            <o:LockedField>false</o:LockedField>
          </o:OLEObject>
        </w:object>
      </w:r>
    </w:p>
    <w:p>
      <w:pPr>
        <w:spacing w:line="276" w:lineRule="auto"/>
        <w:jc w:val="both"/>
        <w:rPr>
          <w:rFonts w:ascii="Cambria" w:hAnsi="Cambria" w:cs="Tahoma"/>
          <w:b/>
        </w:rPr>
      </w:pPr>
      <w:r>
        <w:rPr>
          <w:rFonts w:ascii="Cambria" w:hAnsi="Cambria" w:cs="Tahoma"/>
        </w:rPr>
        <w:t xml:space="preserve">Berdasarkan hasil telaahan terhadap Renstra Kementerian sebagaimana telah diuraikan pada sub bab diatas, walaupun tidak terdapat keterkaitan kinerja langsung antara Kementerian Dalam Negeri dengan Biro Administrasi Pengadaan dan Pengelolaan Barang Milik Daerah, namun </w:t>
      </w:r>
      <w:r>
        <w:rPr>
          <w:rFonts w:ascii="Cambria" w:hAnsi="Cambria" w:cs="Tahoma"/>
          <w:b/>
        </w:rPr>
        <w:t>Biro Administrasi Pengadaan dan Pengelolaan Barang Milik Daerah menjadi unsur pendukung terlaksananya tujuan, sasaran dan indikator kinerja Kementerian Dalam Negeri.</w:t>
      </w:r>
    </w:p>
    <w:p>
      <w:pPr>
        <w:numPr>
          <w:ilvl w:val="2"/>
          <w:numId w:val="6"/>
        </w:numPr>
        <w:tabs>
          <w:tab w:val="left" w:pos="720"/>
        </w:tabs>
        <w:spacing w:after="0" w:line="276" w:lineRule="auto"/>
        <w:ind w:left="720"/>
        <w:jc w:val="both"/>
        <w:rPr>
          <w:rFonts w:ascii="Cambria" w:hAnsi="Cambria" w:cs="Tahoma"/>
          <w:b/>
        </w:rPr>
      </w:pPr>
      <w:r>
        <w:rPr>
          <w:rFonts w:ascii="Cambria" w:hAnsi="Cambria" w:cs="Tahoma"/>
          <w:b/>
        </w:rPr>
        <w:t>Renstra Kabupaten/Kota</w:t>
      </w:r>
    </w:p>
    <w:p>
      <w:pPr>
        <w:tabs>
          <w:tab w:val="left" w:pos="720"/>
        </w:tabs>
        <w:spacing w:after="0" w:line="276" w:lineRule="auto"/>
        <w:ind w:left="720"/>
        <w:jc w:val="both"/>
        <w:rPr>
          <w:rFonts w:ascii="Cambria" w:hAnsi="Cambria" w:cs="Tahoma"/>
          <w:b/>
          <w:sz w:val="10"/>
          <w:szCs w:val="10"/>
        </w:rPr>
      </w:pPr>
    </w:p>
    <w:p>
      <w:pPr>
        <w:spacing w:line="276" w:lineRule="auto"/>
        <w:ind w:firstLine="426"/>
        <w:jc w:val="both"/>
        <w:rPr>
          <w:rFonts w:ascii="Cambria" w:hAnsi="Cambria" w:cs="Tahoma"/>
        </w:rPr>
      </w:pPr>
      <w:r>
        <w:rPr>
          <w:rFonts w:ascii="Cambria" w:hAnsi="Cambria"/>
          <w:b/>
        </w:rPr>
        <w:t xml:space="preserve">Program dan kegiatan </w:t>
      </w:r>
      <w:r>
        <w:rPr>
          <w:rFonts w:ascii="Cambria" w:hAnsi="Cambria" w:cs="Tahoma"/>
        </w:rPr>
        <w:t xml:space="preserve">Biro Administrasi Pengadaan dan Pengelolaan Barang Milik Daerah tidak ada yang berkaitan langsung dengan program/kegiatan pada OPD terkait pada pemerintah kota/kabupaten, namun Biro Administrasi Pengadaan dan Pengelolaan Barang Milik Daerah merupakan OPD provinsi yang berfungsi sebagai pengelola aset baik di Provinsi maupun kabupaten/kota. Di Kabupaten/Kota, Biro Administrasi Pengadaan dan Pengelolaan Barang Milik Daerah berfungsi lebih banyak yang sifatnya koordinasi dan pembinaan terhadap pengelolaan Barang Milik Daerah. </w:t>
      </w:r>
    </w:p>
    <w:p>
      <w:pPr>
        <w:spacing w:line="276" w:lineRule="auto"/>
        <w:ind w:firstLine="426"/>
        <w:jc w:val="both"/>
        <w:rPr>
          <w:rFonts w:ascii="Cambria" w:hAnsi="Cambria"/>
          <w:b/>
          <w:sz w:val="6"/>
          <w:szCs w:val="6"/>
        </w:rPr>
      </w:pPr>
    </w:p>
    <w:p>
      <w:pPr>
        <w:tabs>
          <w:tab w:val="left" w:pos="567"/>
        </w:tabs>
        <w:spacing w:line="276" w:lineRule="auto"/>
        <w:ind w:left="426" w:hanging="426"/>
        <w:jc w:val="both"/>
        <w:rPr>
          <w:rFonts w:ascii="Cambria" w:hAnsi="Cambria"/>
          <w:b/>
        </w:rPr>
      </w:pPr>
      <w:r>
        <w:rPr>
          <w:rFonts w:ascii="Cambria" w:hAnsi="Cambria"/>
          <w:b/>
          <w:bCs/>
        </w:rPr>
        <w:t>3.4. Telaahan</w:t>
      </w:r>
      <w:r>
        <w:rPr>
          <w:rFonts w:ascii="Cambria" w:hAnsi="Cambria"/>
        </w:rPr>
        <w:t xml:space="preserve"> </w:t>
      </w:r>
      <w:r>
        <w:rPr>
          <w:rFonts w:ascii="Cambria" w:hAnsi="Cambria"/>
          <w:b/>
        </w:rPr>
        <w:t>Rencana Tata Ruang Wilayah dan Kajian Lingkungan Hidup Strategis</w:t>
      </w:r>
    </w:p>
    <w:p>
      <w:pPr>
        <w:tabs>
          <w:tab w:val="left" w:pos="0"/>
        </w:tabs>
        <w:spacing w:after="0" w:line="276" w:lineRule="auto"/>
        <w:ind w:firstLine="720"/>
        <w:jc w:val="both"/>
        <w:rPr>
          <w:rFonts w:ascii="Cambria" w:hAnsi="Cambria" w:cs="Tahoma"/>
        </w:rPr>
      </w:pPr>
      <w:r>
        <w:rPr>
          <w:rFonts w:ascii="Cambria" w:hAnsi="Cambria" w:cs="Tahoma"/>
        </w:rPr>
        <w:t xml:space="preserve">Penataan Ruang Provinsi Sumatera Barat adalah proses perencanaan tata ruang, pemanfaatan ruang dan pengendalian pemanfaatan ruang yang diselenggarakan oleh Pemerintah Provinsi di wilayah yang menjadi kewenangan Pemerintah Provinsi, dalam rangka optimalisasi dan mensinergikan pemanfaatan sumberdaya daerah untuk mewujudkan kesejahteraan masyarakat di Sumatera Barat. Oleh karena fungsi dan tugas Biro Administrasi Pengadaan dan Pengelolaan Barang Milik Daerah adalah </w:t>
      </w:r>
      <w:r>
        <w:rPr>
          <w:rFonts w:ascii="Cambria" w:hAnsi="Cambria" w:cs="Times New Roman"/>
        </w:rPr>
        <w:t>menyelenggarakan perumusan pengkajian bahan kebijakan umum dan koordinasi, fasilitasi, pelaporan pelaksanaan bina sarana, pengadaan barang dan jasa, pengelolaan barang milik daerah</w:t>
      </w:r>
      <w:r>
        <w:rPr>
          <w:rFonts w:ascii="Cambria" w:hAnsi="Cambria" w:cs="Tahoma"/>
        </w:rPr>
        <w:t xml:space="preserve"> dan tidak termasuk dalam urusan pilihan prioritas (tapi masuk dalam urusan penunjang), maka tidak memerlukan rencana tata ruang wilayah dan kajian lingkungan hidup strategis.</w:t>
      </w:r>
    </w:p>
    <w:p>
      <w:pPr>
        <w:tabs>
          <w:tab w:val="left" w:pos="0"/>
        </w:tabs>
        <w:spacing w:after="0" w:line="360" w:lineRule="auto"/>
        <w:ind w:firstLine="720"/>
        <w:jc w:val="both"/>
        <w:rPr>
          <w:rFonts w:cs="Tahoma"/>
          <w:sz w:val="24"/>
        </w:rPr>
      </w:pPr>
    </w:p>
    <w:p>
      <w:pPr>
        <w:pStyle w:val="15"/>
        <w:numPr>
          <w:ilvl w:val="1"/>
          <w:numId w:val="4"/>
        </w:numPr>
        <w:spacing w:line="276" w:lineRule="auto"/>
        <w:ind w:left="426" w:hanging="426"/>
        <w:jc w:val="both"/>
        <w:rPr>
          <w:rFonts w:ascii="Cambria" w:hAnsi="Cambria"/>
          <w:b/>
          <w:bCs/>
        </w:rPr>
      </w:pPr>
      <w:r>
        <w:rPr>
          <w:rFonts w:ascii="Cambria" w:hAnsi="Cambria"/>
          <w:b/>
          <w:bCs/>
        </w:rPr>
        <w:t>Penentuan Isu-Isu Strategis</w:t>
      </w:r>
    </w:p>
    <w:p>
      <w:pPr>
        <w:pStyle w:val="15"/>
        <w:tabs>
          <w:tab w:val="left" w:pos="567"/>
        </w:tabs>
        <w:spacing w:line="276" w:lineRule="auto"/>
        <w:ind w:left="0"/>
        <w:jc w:val="both"/>
        <w:rPr>
          <w:rFonts w:ascii="Cambria" w:hAnsi="Cambria"/>
          <w:b/>
          <w:bCs/>
          <w:sz w:val="10"/>
          <w:szCs w:val="10"/>
        </w:rPr>
      </w:pPr>
    </w:p>
    <w:p>
      <w:pPr>
        <w:spacing w:after="120" w:line="276" w:lineRule="auto"/>
        <w:ind w:firstLine="720"/>
        <w:jc w:val="both"/>
        <w:rPr>
          <w:rFonts w:ascii="Cambria" w:hAnsi="Cambria"/>
        </w:rPr>
      </w:pPr>
      <w:r>
        <w:rPr>
          <w:rFonts w:ascii="Cambria" w:hAnsi="Cambria"/>
        </w:rPr>
        <w:t>Untuk 5 tahun kedepan 2016-2021 yang menjadi Isu strategis Biro Administrasi Pengadaan dan Pengelolaan Barang Milik Daerah adalah :</w:t>
      </w:r>
    </w:p>
    <w:p>
      <w:pPr>
        <w:pStyle w:val="15"/>
        <w:numPr>
          <w:ilvl w:val="0"/>
          <w:numId w:val="20"/>
        </w:numPr>
        <w:spacing w:after="120" w:line="276" w:lineRule="auto"/>
        <w:ind w:left="426" w:hanging="426"/>
        <w:jc w:val="both"/>
        <w:rPr>
          <w:rFonts w:ascii="Cambria" w:hAnsi="Cambria"/>
        </w:rPr>
      </w:pPr>
      <w:r>
        <w:rPr>
          <w:rFonts w:ascii="Cambria" w:hAnsi="Cambria"/>
        </w:rPr>
        <w:t>Bagaimana mempertahankan validitas data aset tetap yang merupakan penyumbang dengan kontribusi utama dalam neraca daerah, dan bisa menjadi penyebab pengecualian / tidak WTP jika validitas data dimaksud tidak diyakini kebenarannya.</w:t>
      </w:r>
    </w:p>
    <w:p>
      <w:pPr>
        <w:pStyle w:val="15"/>
        <w:numPr>
          <w:ilvl w:val="0"/>
          <w:numId w:val="20"/>
        </w:numPr>
        <w:spacing w:after="120" w:line="276" w:lineRule="auto"/>
        <w:ind w:left="426" w:hanging="426"/>
        <w:jc w:val="both"/>
        <w:rPr>
          <w:rFonts w:ascii="Cambria" w:hAnsi="Cambria"/>
        </w:rPr>
      </w:pPr>
      <w:r>
        <w:rPr>
          <w:rFonts w:ascii="Cambria" w:hAnsi="Cambria"/>
        </w:rPr>
        <w:t xml:space="preserve">Terkait pengelolaan aset-aset konkuren sebagai pemenuhan amanat Undang-Undang Nomor 23 tahun 2014 tentang Pemerintahan Daerah, akan semakin komplek dengan berbagai permasalahan yang dibawa serta menjadi tantangan tersendiri bagi Biro Administrasi Pengadaan dan Pengelolaan Barang Milik Daerah agar permasalahan aset-aset tersebut tidak menjadi penyebab menurunnya opini WTP yang telah dicapai selama 5 tahun berturut-turut (2012-2016). </w:t>
      </w:r>
    </w:p>
    <w:p>
      <w:pPr>
        <w:pStyle w:val="15"/>
        <w:numPr>
          <w:ilvl w:val="0"/>
          <w:numId w:val="20"/>
        </w:numPr>
        <w:spacing w:after="120" w:line="276" w:lineRule="auto"/>
        <w:ind w:left="426" w:hanging="426"/>
        <w:jc w:val="both"/>
        <w:rPr>
          <w:rFonts w:ascii="Cambria" w:hAnsi="Cambria"/>
        </w:rPr>
      </w:pPr>
      <w:r>
        <w:rPr>
          <w:rFonts w:ascii="Cambria" w:hAnsi="Cambria"/>
        </w:rPr>
        <w:t xml:space="preserve">Pengamanan dan penertiban aset tetap terutama Tanah dan Bangunan yang perlu difokuskan agar tidak disalahgunakan pemanfaatannya oleh pihak lain. </w:t>
      </w:r>
    </w:p>
    <w:p>
      <w:pPr>
        <w:pStyle w:val="15"/>
        <w:numPr>
          <w:ilvl w:val="0"/>
          <w:numId w:val="20"/>
        </w:numPr>
        <w:spacing w:after="200" w:line="276" w:lineRule="auto"/>
        <w:ind w:left="426" w:hanging="426"/>
        <w:jc w:val="both"/>
        <w:rPr>
          <w:rFonts w:ascii="Cambria" w:hAnsi="Cambria"/>
        </w:rPr>
      </w:pPr>
      <w:r>
        <w:rPr>
          <w:rFonts w:ascii="Cambria" w:hAnsi="Cambria"/>
        </w:rPr>
        <w:t>Isu strategis berikutnya terkait pelaksanaan fungsi pelayanan proses pengadaan B/J yang sejak tahun 2014 yang menjadi tugas dan fungsi Biro Administrasi Pengadaan dan Pengelolaan Barang Milik Daerah.</w:t>
      </w:r>
    </w:p>
    <w:sectPr>
      <w:headerReference r:id="rId5" w:type="default"/>
      <w:footerReference r:id="rId6" w:type="default"/>
      <w:pgSz w:w="11906" w:h="16838"/>
      <w:pgMar w:top="1276" w:right="1418" w:bottom="1701" w:left="1418" w:header="709" w:footer="533"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altName w:val="Arial Unicode MS"/>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等线 Light">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 w:name="等线">
    <w:altName w:val="Arial Unicode MS"/>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1167346"/>
      <w:docPartObj>
        <w:docPartGallery w:val="AutoText"/>
      </w:docPartObj>
    </w:sdtPr>
    <w:sdtContent>
      <w:p>
        <w:pPr>
          <w:pStyle w:val="3"/>
          <w:jc w:val="right"/>
        </w:pPr>
        <w:r>
          <w:fldChar w:fldCharType="begin"/>
        </w:r>
        <w:r>
          <w:instrText xml:space="preserve"> PAGE   \* MERGEFORMAT </w:instrText>
        </w:r>
        <w:r>
          <w:fldChar w:fldCharType="separate"/>
        </w:r>
        <w:r>
          <w:t>35</w:t>
        </w:r>
        <w:r>
          <w:fldChar w:fldCharType="end"/>
        </w:r>
      </w:p>
    </w:sdtContent>
  </w:sdt>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582563"/>
      <w:docPartObj>
        <w:docPartGallery w:val="AutoText"/>
      </w:docPartObj>
    </w:sdtPr>
    <w:sdtContent>
      <w:p>
        <w:pPr>
          <w:pStyle w:val="3"/>
          <w:jc w:val="right"/>
        </w:pPr>
        <w:r>
          <w:fldChar w:fldCharType="begin"/>
        </w:r>
        <w:r>
          <w:instrText xml:space="preserve"> PAGE   \* MERGEFORMAT </w:instrText>
        </w:r>
        <w:r>
          <w:fldChar w:fldCharType="separate"/>
        </w:r>
        <w:r>
          <w:t>46</w:t>
        </w:r>
        <w:r>
          <w:fldChar w:fldCharType="end"/>
        </w:r>
      </w:p>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5B9BD5" w:themeColor="accent1" w:sz="12" w:space="11"/>
      </w:pBdr>
      <w:tabs>
        <w:tab w:val="left" w:pos="3620"/>
        <w:tab w:val="left" w:pos="3964"/>
      </w:tabs>
      <w:spacing w:after="0"/>
      <w:rPr>
        <w:rFonts w:ascii="Cambria" w:hAnsi="Cambria" w:eastAsiaTheme="majorEastAsia" w:cstheme="majorBidi"/>
        <w:color w:val="2E75B6" w:themeColor="accent1" w:themeShade="BF"/>
        <w:sz w:val="26"/>
        <w:szCs w:val="26"/>
      </w:rPr>
    </w:pPr>
    <w:sdt>
      <w:sdtPr>
        <w:rPr>
          <w:rFonts w:ascii="Cambria" w:hAnsi="Cambria" w:eastAsiaTheme="majorEastAsia" w:cstheme="majorBidi"/>
          <w:color w:val="2E75B6" w:themeColor="accent1" w:themeShade="BF"/>
          <w:sz w:val="20"/>
          <w:szCs w:val="20"/>
        </w:rPr>
        <w:alias w:val="Title"/>
        <w:id w:val="-932208079"/>
        <w:placeholder>
          <w:docPart w:val="D1520D1C246944ECA6070D2FFB7A2DBB"/>
        </w:placeholder>
        <w15:dataBinding w:prefixMappings="xmlns:ns0='http://purl.org/dc/elements/1.1/' xmlns:ns1='http://schemas.openxmlformats.org/package/2006/metadata/core-properties' " w:xpath="/ns1:coreProperties[1]/ns0:title[1]" w:storeItemID="{6C3C8BC8-F283-45AE-878A-BAB7291924A1}"/>
        <w:text/>
      </w:sdtPr>
      <w:sdtEndPr>
        <w:rPr>
          <w:rFonts w:ascii="Cambria" w:hAnsi="Cambria" w:eastAsiaTheme="majorEastAsia" w:cstheme="majorBidi"/>
          <w:color w:val="2E75B6" w:themeColor="accent1" w:themeShade="BF"/>
          <w:sz w:val="20"/>
          <w:szCs w:val="20"/>
        </w:rPr>
      </w:sdtEndPr>
      <w:sdtContent>
        <w:r>
          <w:rPr>
            <w:rFonts w:ascii="Cambria" w:hAnsi="Cambria" w:eastAsiaTheme="majorEastAsia" w:cstheme="majorBidi"/>
            <w:color w:val="2E75B6" w:themeColor="accent1" w:themeShade="BF"/>
            <w:sz w:val="20"/>
            <w:szCs w:val="20"/>
          </w:rPr>
          <w:t>Perubahan Renstra Biro AP2BMD Tahun 2016-2021</w:t>
        </w:r>
      </w:sdtContent>
    </w:sdt>
  </w:p>
  <w:p>
    <w:pPr>
      <w:pStyle w:val="4"/>
      <w:rPr>
        <w:rFonts w:ascii="Cambria" w:hAnsi="Cambr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5B9BD5" w:themeColor="accent1" w:sz="12" w:space="11"/>
      </w:pBdr>
      <w:tabs>
        <w:tab w:val="left" w:pos="3620"/>
        <w:tab w:val="left" w:pos="3964"/>
      </w:tabs>
      <w:spacing w:after="0"/>
      <w:rPr>
        <w:rFonts w:asciiTheme="majorHAnsi" w:hAnsiTheme="majorHAnsi" w:eastAsiaTheme="majorEastAsia" w:cstheme="majorBidi"/>
        <w:color w:val="2E75B6" w:themeColor="accent1" w:themeShade="BF"/>
        <w:sz w:val="20"/>
        <w:szCs w:val="20"/>
      </w:rPr>
    </w:pPr>
    <w:sdt>
      <w:sdtPr>
        <w:rPr>
          <w:rFonts w:asciiTheme="majorHAnsi" w:hAnsiTheme="majorHAnsi" w:eastAsiaTheme="majorEastAsia" w:cstheme="majorBidi"/>
          <w:color w:val="2E75B6" w:themeColor="accent1" w:themeShade="BF"/>
          <w:sz w:val="20"/>
          <w:szCs w:val="20"/>
        </w:rPr>
        <w:alias w:val="Title"/>
        <w:id w:val="-2019993048"/>
        <w:placeholder>
          <w:docPart w:val="A7550FEE5D824BE5BA55542AE23DB0CE"/>
        </w:placeholder>
        <w15:dataBinding w:prefixMappings="xmlns:ns0='http://purl.org/dc/elements/1.1/' xmlns:ns1='http://schemas.openxmlformats.org/package/2006/metadata/core-properties' " w:xpath="/ns1:coreProperties[1]/ns0:title[1]" w:storeItemID="{6C3C8BC8-F283-45AE-878A-BAB7291924A1}"/>
        <w:text/>
      </w:sdtPr>
      <w:sdtEndPr>
        <w:rPr>
          <w:rFonts w:asciiTheme="majorHAnsi" w:hAnsiTheme="majorHAnsi" w:eastAsiaTheme="majorEastAsia" w:cstheme="majorBidi"/>
          <w:color w:val="2E75B6" w:themeColor="accent1" w:themeShade="BF"/>
          <w:sz w:val="20"/>
          <w:szCs w:val="20"/>
        </w:rPr>
      </w:sdtEndPr>
      <w:sdtContent>
        <w:r>
          <w:rPr>
            <w:rFonts w:asciiTheme="majorHAnsi" w:hAnsiTheme="majorHAnsi" w:eastAsiaTheme="majorEastAsia" w:cstheme="majorBidi"/>
            <w:color w:val="2E75B6" w:themeColor="accent1" w:themeShade="BF"/>
            <w:sz w:val="20"/>
            <w:szCs w:val="20"/>
          </w:rPr>
          <w:t>Perubahan Renstra Biro AP2BMD Tahun 2016-2021</w:t>
        </w:r>
      </w:sdtContent>
    </w:sdt>
  </w:p>
  <w:p>
    <w:pPr>
      <w:pStyle w:val="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4493D"/>
    <w:multiLevelType w:val="multilevel"/>
    <w:tmpl w:val="03B4493D"/>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1">
    <w:nsid w:val="085B4AC1"/>
    <w:multiLevelType w:val="multilevel"/>
    <w:tmpl w:val="085B4AC1"/>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2">
    <w:nsid w:val="098F5D16"/>
    <w:multiLevelType w:val="multilevel"/>
    <w:tmpl w:val="098F5D16"/>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2561448"/>
    <w:multiLevelType w:val="multilevel"/>
    <w:tmpl w:val="12561448"/>
    <w:lvl w:ilvl="0" w:tentative="0">
      <w:start w:val="1"/>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4">
    <w:nsid w:val="15522989"/>
    <w:multiLevelType w:val="multilevel"/>
    <w:tmpl w:val="15522989"/>
    <w:lvl w:ilvl="0" w:tentative="0">
      <w:start w:val="3"/>
      <w:numFmt w:val="decimal"/>
      <w:lvlText w:val="%1"/>
      <w:lvlJc w:val="left"/>
      <w:pPr>
        <w:ind w:left="360" w:hanging="360"/>
      </w:pPr>
      <w:rPr>
        <w:rFonts w:hint="default"/>
      </w:rPr>
    </w:lvl>
    <w:lvl w:ilvl="1" w:tentative="0">
      <w:start w:val="1"/>
      <w:numFmt w:val="decimal"/>
      <w:lvlText w:val="%1.%2"/>
      <w:lvlJc w:val="left"/>
      <w:pPr>
        <w:ind w:left="1260" w:hanging="720"/>
      </w:pPr>
      <w:rPr>
        <w:rFonts w:hint="default"/>
      </w:rPr>
    </w:lvl>
    <w:lvl w:ilvl="2" w:tentative="0">
      <w:start w:val="1"/>
      <w:numFmt w:val="decimal"/>
      <w:lvlText w:val="%1.%2.%3"/>
      <w:lvlJc w:val="left"/>
      <w:pPr>
        <w:ind w:left="1800" w:hanging="720"/>
      </w:pPr>
      <w:rPr>
        <w:rFonts w:hint="default"/>
      </w:rPr>
    </w:lvl>
    <w:lvl w:ilvl="3" w:tentative="0">
      <w:start w:val="1"/>
      <w:numFmt w:val="decimal"/>
      <w:lvlText w:val="%1.%2.%3.%4"/>
      <w:lvlJc w:val="left"/>
      <w:pPr>
        <w:ind w:left="2700" w:hanging="1080"/>
      </w:pPr>
      <w:rPr>
        <w:rFonts w:hint="default"/>
      </w:rPr>
    </w:lvl>
    <w:lvl w:ilvl="4" w:tentative="0">
      <w:start w:val="1"/>
      <w:numFmt w:val="decimal"/>
      <w:lvlText w:val="%1.%2.%3.%4.%5"/>
      <w:lvlJc w:val="left"/>
      <w:pPr>
        <w:ind w:left="3240" w:hanging="1080"/>
      </w:pPr>
      <w:rPr>
        <w:rFonts w:hint="default"/>
      </w:rPr>
    </w:lvl>
    <w:lvl w:ilvl="5" w:tentative="0">
      <w:start w:val="1"/>
      <w:numFmt w:val="decimal"/>
      <w:lvlText w:val="%1.%2.%3.%4.%5.%6"/>
      <w:lvlJc w:val="left"/>
      <w:pPr>
        <w:ind w:left="4140" w:hanging="1440"/>
      </w:pPr>
      <w:rPr>
        <w:rFonts w:hint="default"/>
      </w:rPr>
    </w:lvl>
    <w:lvl w:ilvl="6" w:tentative="0">
      <w:start w:val="1"/>
      <w:numFmt w:val="decimal"/>
      <w:lvlText w:val="%1.%2.%3.%4.%5.%6.%7"/>
      <w:lvlJc w:val="left"/>
      <w:pPr>
        <w:ind w:left="5040" w:hanging="1800"/>
      </w:pPr>
      <w:rPr>
        <w:rFonts w:hint="default"/>
      </w:rPr>
    </w:lvl>
    <w:lvl w:ilvl="7" w:tentative="0">
      <w:start w:val="1"/>
      <w:numFmt w:val="decimal"/>
      <w:lvlText w:val="%1.%2.%3.%4.%5.%6.%7.%8"/>
      <w:lvlJc w:val="left"/>
      <w:pPr>
        <w:ind w:left="5580" w:hanging="1800"/>
      </w:pPr>
      <w:rPr>
        <w:rFonts w:hint="default"/>
      </w:rPr>
    </w:lvl>
    <w:lvl w:ilvl="8" w:tentative="0">
      <w:start w:val="1"/>
      <w:numFmt w:val="decimal"/>
      <w:lvlText w:val="%1.%2.%3.%4.%5.%6.%7.%8.%9"/>
      <w:lvlJc w:val="left"/>
      <w:pPr>
        <w:ind w:left="6480" w:hanging="2160"/>
      </w:pPr>
      <w:rPr>
        <w:rFonts w:hint="default"/>
      </w:rPr>
    </w:lvl>
  </w:abstractNum>
  <w:abstractNum w:abstractNumId="5">
    <w:nsid w:val="175136DA"/>
    <w:multiLevelType w:val="multilevel"/>
    <w:tmpl w:val="175136DA"/>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6">
    <w:nsid w:val="1D5D21F2"/>
    <w:multiLevelType w:val="multilevel"/>
    <w:tmpl w:val="1D5D21F2"/>
    <w:lvl w:ilvl="0" w:tentative="0">
      <w:start w:val="1"/>
      <w:numFmt w:val="decimal"/>
      <w:lvlText w:val="%1."/>
      <w:lvlJc w:val="left"/>
      <w:pPr>
        <w:ind w:left="720" w:hanging="360"/>
      </w:pPr>
      <w:rPr>
        <w:rFonts w:hint="default"/>
      </w:rPr>
    </w:lvl>
    <w:lvl w:ilvl="1" w:tentative="0">
      <w:start w:val="4"/>
      <w:numFmt w:val="decimal"/>
      <w:isLgl/>
      <w:lvlText w:val="%1.%2"/>
      <w:lvlJc w:val="left"/>
      <w:pPr>
        <w:ind w:left="720"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7">
    <w:nsid w:val="227C30D7"/>
    <w:multiLevelType w:val="multilevel"/>
    <w:tmpl w:val="227C30D7"/>
    <w:lvl w:ilvl="0" w:tentative="0">
      <w:start w:val="1"/>
      <w:numFmt w:val="decimal"/>
      <w:lvlText w:val="%1."/>
      <w:lvlJc w:val="left"/>
      <w:pPr>
        <w:ind w:left="720" w:hanging="360"/>
      </w:pPr>
      <w:rPr>
        <w:rFonts w:hint="default"/>
      </w:rPr>
    </w:lvl>
    <w:lvl w:ilvl="1" w:tentative="0">
      <w:start w:val="5"/>
      <w:numFmt w:val="decimal"/>
      <w:isLgl/>
      <w:lvlText w:val="%1.%2"/>
      <w:lvlJc w:val="left"/>
      <w:pPr>
        <w:ind w:left="900" w:hanging="360"/>
      </w:pPr>
      <w:rPr>
        <w:rFonts w:hint="default"/>
      </w:rPr>
    </w:lvl>
    <w:lvl w:ilvl="2" w:tentative="0">
      <w:start w:val="1"/>
      <w:numFmt w:val="decimal"/>
      <w:isLgl/>
      <w:lvlText w:val="%1.%2.%3"/>
      <w:lvlJc w:val="left"/>
      <w:pPr>
        <w:ind w:left="1440" w:hanging="720"/>
      </w:pPr>
      <w:rPr>
        <w:rFonts w:hint="default"/>
      </w:rPr>
    </w:lvl>
    <w:lvl w:ilvl="3" w:tentative="0">
      <w:start w:val="1"/>
      <w:numFmt w:val="decimal"/>
      <w:isLgl/>
      <w:lvlText w:val="%1.%2.%3.%4"/>
      <w:lvlJc w:val="left"/>
      <w:pPr>
        <w:ind w:left="1620" w:hanging="720"/>
      </w:pPr>
      <w:rPr>
        <w:rFonts w:hint="default"/>
      </w:rPr>
    </w:lvl>
    <w:lvl w:ilvl="4" w:tentative="0">
      <w:start w:val="1"/>
      <w:numFmt w:val="decimal"/>
      <w:isLgl/>
      <w:lvlText w:val="%1.%2.%3.%4.%5"/>
      <w:lvlJc w:val="left"/>
      <w:pPr>
        <w:ind w:left="2160" w:hanging="1080"/>
      </w:pPr>
      <w:rPr>
        <w:rFonts w:hint="default"/>
      </w:rPr>
    </w:lvl>
    <w:lvl w:ilvl="5" w:tentative="0">
      <w:start w:val="1"/>
      <w:numFmt w:val="decimal"/>
      <w:isLgl/>
      <w:lvlText w:val="%1.%2.%3.%4.%5.%6"/>
      <w:lvlJc w:val="left"/>
      <w:pPr>
        <w:ind w:left="2340" w:hanging="1080"/>
      </w:pPr>
      <w:rPr>
        <w:rFonts w:hint="default"/>
      </w:rPr>
    </w:lvl>
    <w:lvl w:ilvl="6" w:tentative="0">
      <w:start w:val="1"/>
      <w:numFmt w:val="decimal"/>
      <w:isLgl/>
      <w:lvlText w:val="%1.%2.%3.%4.%5.%6.%7"/>
      <w:lvlJc w:val="left"/>
      <w:pPr>
        <w:ind w:left="2880" w:hanging="1440"/>
      </w:pPr>
      <w:rPr>
        <w:rFonts w:hint="default"/>
      </w:rPr>
    </w:lvl>
    <w:lvl w:ilvl="7" w:tentative="0">
      <w:start w:val="1"/>
      <w:numFmt w:val="decimal"/>
      <w:isLgl/>
      <w:lvlText w:val="%1.%2.%3.%4.%5.%6.%7.%8"/>
      <w:lvlJc w:val="left"/>
      <w:pPr>
        <w:ind w:left="3420" w:hanging="1800"/>
      </w:pPr>
      <w:rPr>
        <w:rFonts w:hint="default"/>
      </w:rPr>
    </w:lvl>
    <w:lvl w:ilvl="8" w:tentative="0">
      <w:start w:val="1"/>
      <w:numFmt w:val="decimal"/>
      <w:isLgl/>
      <w:lvlText w:val="%1.%2.%3.%4.%5.%6.%7.%8.%9"/>
      <w:lvlJc w:val="left"/>
      <w:pPr>
        <w:ind w:left="3600" w:hanging="1800"/>
      </w:pPr>
      <w:rPr>
        <w:rFonts w:hint="default"/>
      </w:rPr>
    </w:lvl>
  </w:abstractNum>
  <w:abstractNum w:abstractNumId="8">
    <w:nsid w:val="2616497B"/>
    <w:multiLevelType w:val="multilevel"/>
    <w:tmpl w:val="2616497B"/>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9">
    <w:nsid w:val="28BF6B4C"/>
    <w:multiLevelType w:val="multilevel"/>
    <w:tmpl w:val="28BF6B4C"/>
    <w:lvl w:ilvl="0" w:tentative="0">
      <w:start w:val="1"/>
      <w:numFmt w:val="decimal"/>
      <w:lvlText w:val="%1."/>
      <w:lvlJc w:val="left"/>
      <w:pPr>
        <w:ind w:left="720" w:hanging="360"/>
      </w:pPr>
      <w:rPr>
        <w:rFonts w:hint="default"/>
      </w:rPr>
    </w:lvl>
    <w:lvl w:ilvl="1" w:tentative="0">
      <w:start w:val="3"/>
      <w:numFmt w:val="decimal"/>
      <w:isLgl/>
      <w:lvlText w:val="%1.%2."/>
      <w:lvlJc w:val="left"/>
      <w:pPr>
        <w:ind w:left="1080" w:hanging="72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440" w:hanging="108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800" w:hanging="144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2160" w:hanging="1800"/>
      </w:pPr>
      <w:rPr>
        <w:rFonts w:hint="default"/>
      </w:rPr>
    </w:lvl>
    <w:lvl w:ilvl="8" w:tentative="0">
      <w:start w:val="1"/>
      <w:numFmt w:val="decimal"/>
      <w:isLgl/>
      <w:lvlText w:val="%1.%2.%3.%4.%5.%6.%7.%8.%9."/>
      <w:lvlJc w:val="left"/>
      <w:pPr>
        <w:ind w:left="2160" w:hanging="1800"/>
      </w:pPr>
      <w:rPr>
        <w:rFonts w:hint="default"/>
      </w:rPr>
    </w:lvl>
  </w:abstractNum>
  <w:abstractNum w:abstractNumId="10">
    <w:nsid w:val="2C324767"/>
    <w:multiLevelType w:val="multilevel"/>
    <w:tmpl w:val="2C324767"/>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11">
    <w:nsid w:val="31025D30"/>
    <w:multiLevelType w:val="multilevel"/>
    <w:tmpl w:val="31025D30"/>
    <w:lvl w:ilvl="0" w:tentative="0">
      <w:start w:val="1"/>
      <w:numFmt w:val="lowerLetter"/>
      <w:lvlText w:val="%1."/>
      <w:lvlJc w:val="left"/>
      <w:pPr>
        <w:tabs>
          <w:tab w:val="left" w:pos="1080"/>
        </w:tabs>
        <w:ind w:left="1080" w:hanging="360"/>
      </w:pPr>
      <w:rPr>
        <w:rFonts w:hint="default"/>
      </w:rPr>
    </w:lvl>
    <w:lvl w:ilvl="1" w:tentative="0">
      <w:start w:val="1"/>
      <w:numFmt w:val="decimal"/>
      <w:lvlText w:val="%2."/>
      <w:lvlJc w:val="left"/>
      <w:pPr>
        <w:tabs>
          <w:tab w:val="left" w:pos="1800"/>
        </w:tabs>
        <w:ind w:left="1800" w:hanging="360"/>
      </w:pPr>
      <w:rPr>
        <w:rFonts w:hint="default"/>
        <w:b w:val="0"/>
      </w:rPr>
    </w:lvl>
    <w:lvl w:ilvl="2" w:tentative="0">
      <w:start w:val="1"/>
      <w:numFmt w:val="lowerRoman"/>
      <w:lvlText w:val="%3."/>
      <w:lvlJc w:val="right"/>
      <w:pPr>
        <w:tabs>
          <w:tab w:val="left" w:pos="2520"/>
        </w:tabs>
        <w:ind w:left="2520" w:hanging="180"/>
      </w:pPr>
    </w:lvl>
    <w:lvl w:ilvl="3" w:tentative="0">
      <w:start w:val="1"/>
      <w:numFmt w:val="upperLetter"/>
      <w:lvlText w:val="%4."/>
      <w:lvlJc w:val="left"/>
      <w:pPr>
        <w:tabs>
          <w:tab w:val="left" w:pos="3240"/>
        </w:tabs>
        <w:ind w:left="3240" w:hanging="360"/>
      </w:pPr>
      <w:rPr>
        <w:rFonts w:hint="default"/>
      </w:rPr>
    </w:lvl>
    <w:lvl w:ilvl="4" w:tentative="0">
      <w:start w:val="1"/>
      <w:numFmt w:val="lowerLetter"/>
      <w:lvlText w:val="%5."/>
      <w:lvlJc w:val="left"/>
      <w:pPr>
        <w:tabs>
          <w:tab w:val="left" w:pos="3960"/>
        </w:tabs>
        <w:ind w:left="3960" w:hanging="360"/>
      </w:pPr>
    </w:lvl>
    <w:lvl w:ilvl="5" w:tentative="0">
      <w:start w:val="1"/>
      <w:numFmt w:val="lowerRoman"/>
      <w:lvlText w:val="%6."/>
      <w:lvlJc w:val="right"/>
      <w:pPr>
        <w:tabs>
          <w:tab w:val="left" w:pos="4680"/>
        </w:tabs>
        <w:ind w:left="4680" w:hanging="180"/>
      </w:pPr>
    </w:lvl>
    <w:lvl w:ilvl="6" w:tentative="0">
      <w:start w:val="1"/>
      <w:numFmt w:val="decimal"/>
      <w:lvlText w:val="%7."/>
      <w:lvlJc w:val="left"/>
      <w:pPr>
        <w:tabs>
          <w:tab w:val="left" w:pos="5400"/>
        </w:tabs>
        <w:ind w:left="5400" w:hanging="360"/>
      </w:pPr>
    </w:lvl>
    <w:lvl w:ilvl="7" w:tentative="0">
      <w:start w:val="1"/>
      <w:numFmt w:val="lowerLetter"/>
      <w:lvlText w:val="%8."/>
      <w:lvlJc w:val="left"/>
      <w:pPr>
        <w:tabs>
          <w:tab w:val="left" w:pos="6120"/>
        </w:tabs>
        <w:ind w:left="6120" w:hanging="360"/>
      </w:pPr>
    </w:lvl>
    <w:lvl w:ilvl="8" w:tentative="0">
      <w:start w:val="1"/>
      <w:numFmt w:val="lowerRoman"/>
      <w:lvlText w:val="%9."/>
      <w:lvlJc w:val="right"/>
      <w:pPr>
        <w:tabs>
          <w:tab w:val="left" w:pos="6840"/>
        </w:tabs>
        <w:ind w:left="6840" w:hanging="180"/>
      </w:pPr>
    </w:lvl>
  </w:abstractNum>
  <w:abstractNum w:abstractNumId="12">
    <w:nsid w:val="311D5030"/>
    <w:multiLevelType w:val="multilevel"/>
    <w:tmpl w:val="311D5030"/>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13">
    <w:nsid w:val="38606DC0"/>
    <w:multiLevelType w:val="multilevel"/>
    <w:tmpl w:val="38606DC0"/>
    <w:lvl w:ilvl="0" w:tentative="0">
      <w:start w:val="1"/>
      <w:numFmt w:val="decimal"/>
      <w:lvlText w:val="%1."/>
      <w:lvlJc w:val="left"/>
      <w:pPr>
        <w:ind w:left="1350" w:hanging="360"/>
      </w:pPr>
    </w:lvl>
    <w:lvl w:ilvl="1" w:tentative="0">
      <w:start w:val="1"/>
      <w:numFmt w:val="lowerLetter"/>
      <w:lvlText w:val="%2."/>
      <w:lvlJc w:val="left"/>
      <w:pPr>
        <w:ind w:left="2070" w:hanging="360"/>
      </w:pPr>
    </w:lvl>
    <w:lvl w:ilvl="2" w:tentative="0">
      <w:start w:val="1"/>
      <w:numFmt w:val="lowerRoman"/>
      <w:lvlText w:val="%3."/>
      <w:lvlJc w:val="right"/>
      <w:pPr>
        <w:ind w:left="2790" w:hanging="180"/>
      </w:pPr>
    </w:lvl>
    <w:lvl w:ilvl="3" w:tentative="0">
      <w:start w:val="1"/>
      <w:numFmt w:val="decimal"/>
      <w:lvlText w:val="%4."/>
      <w:lvlJc w:val="left"/>
      <w:pPr>
        <w:ind w:left="3510" w:hanging="360"/>
      </w:pPr>
    </w:lvl>
    <w:lvl w:ilvl="4" w:tentative="0">
      <w:start w:val="1"/>
      <w:numFmt w:val="lowerLetter"/>
      <w:lvlText w:val="%5."/>
      <w:lvlJc w:val="left"/>
      <w:pPr>
        <w:ind w:left="4230" w:hanging="360"/>
      </w:pPr>
    </w:lvl>
    <w:lvl w:ilvl="5" w:tentative="0">
      <w:start w:val="1"/>
      <w:numFmt w:val="lowerRoman"/>
      <w:lvlText w:val="%6."/>
      <w:lvlJc w:val="right"/>
      <w:pPr>
        <w:ind w:left="4950" w:hanging="180"/>
      </w:pPr>
    </w:lvl>
    <w:lvl w:ilvl="6" w:tentative="0">
      <w:start w:val="1"/>
      <w:numFmt w:val="decimal"/>
      <w:lvlText w:val="%7."/>
      <w:lvlJc w:val="left"/>
      <w:pPr>
        <w:ind w:left="5670" w:hanging="360"/>
      </w:pPr>
    </w:lvl>
    <w:lvl w:ilvl="7" w:tentative="0">
      <w:start w:val="1"/>
      <w:numFmt w:val="lowerLetter"/>
      <w:lvlText w:val="%8."/>
      <w:lvlJc w:val="left"/>
      <w:pPr>
        <w:ind w:left="6390" w:hanging="360"/>
      </w:pPr>
    </w:lvl>
    <w:lvl w:ilvl="8" w:tentative="0">
      <w:start w:val="1"/>
      <w:numFmt w:val="lowerRoman"/>
      <w:lvlText w:val="%9."/>
      <w:lvlJc w:val="right"/>
      <w:pPr>
        <w:ind w:left="7110" w:hanging="180"/>
      </w:pPr>
    </w:lvl>
  </w:abstractNum>
  <w:abstractNum w:abstractNumId="14">
    <w:nsid w:val="584809AD"/>
    <w:multiLevelType w:val="multilevel"/>
    <w:tmpl w:val="584809AD"/>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15">
    <w:nsid w:val="676D18D0"/>
    <w:multiLevelType w:val="multilevel"/>
    <w:tmpl w:val="676D18D0"/>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16">
    <w:nsid w:val="6EF4625C"/>
    <w:multiLevelType w:val="multilevel"/>
    <w:tmpl w:val="6EF4625C"/>
    <w:lvl w:ilvl="0" w:tentative="0">
      <w:start w:val="1"/>
      <w:numFmt w:val="decimal"/>
      <w:lvlText w:val="%1."/>
      <w:lvlJc w:val="left"/>
      <w:pPr>
        <w:ind w:left="360" w:hanging="360"/>
      </w:pPr>
      <w:rPr>
        <w:rFonts w:ascii="Tahoma" w:hAnsi="Tahoma" w:eastAsia="Times New Roman" w:cs="Tahoma"/>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7">
    <w:nsid w:val="78F81843"/>
    <w:multiLevelType w:val="multilevel"/>
    <w:tmpl w:val="78F81843"/>
    <w:lvl w:ilvl="0" w:tentative="0">
      <w:start w:val="1"/>
      <w:numFmt w:val="lowerLetter"/>
      <w:lvlText w:val="%1."/>
      <w:lvlJc w:val="left"/>
      <w:pPr>
        <w:ind w:left="786" w:hanging="360"/>
      </w:pPr>
    </w:lvl>
    <w:lvl w:ilvl="1" w:tentative="0">
      <w:start w:val="1"/>
      <w:numFmt w:val="lowerLetter"/>
      <w:lvlText w:val="%2."/>
      <w:lvlJc w:val="left"/>
      <w:pPr>
        <w:ind w:left="1146" w:hanging="360"/>
      </w:pPr>
    </w:lvl>
    <w:lvl w:ilvl="2" w:tentative="0">
      <w:start w:val="1"/>
      <w:numFmt w:val="lowerRoman"/>
      <w:lvlText w:val="%3."/>
      <w:lvlJc w:val="right"/>
      <w:pPr>
        <w:ind w:left="1866" w:hanging="180"/>
      </w:pPr>
    </w:lvl>
    <w:lvl w:ilvl="3" w:tentative="0">
      <w:start w:val="1"/>
      <w:numFmt w:val="decimal"/>
      <w:lvlText w:val="%4."/>
      <w:lvlJc w:val="left"/>
      <w:pPr>
        <w:ind w:left="2586" w:hanging="360"/>
      </w:pPr>
    </w:lvl>
    <w:lvl w:ilvl="4" w:tentative="0">
      <w:start w:val="1"/>
      <w:numFmt w:val="lowerLetter"/>
      <w:lvlText w:val="%5."/>
      <w:lvlJc w:val="left"/>
      <w:pPr>
        <w:ind w:left="3306" w:hanging="360"/>
      </w:pPr>
    </w:lvl>
    <w:lvl w:ilvl="5" w:tentative="0">
      <w:start w:val="1"/>
      <w:numFmt w:val="lowerRoman"/>
      <w:lvlText w:val="%6."/>
      <w:lvlJc w:val="right"/>
      <w:pPr>
        <w:ind w:left="4026" w:hanging="180"/>
      </w:pPr>
    </w:lvl>
    <w:lvl w:ilvl="6" w:tentative="0">
      <w:start w:val="1"/>
      <w:numFmt w:val="decimal"/>
      <w:lvlText w:val="%7."/>
      <w:lvlJc w:val="left"/>
      <w:pPr>
        <w:ind w:left="4746" w:hanging="360"/>
      </w:pPr>
    </w:lvl>
    <w:lvl w:ilvl="7" w:tentative="0">
      <w:start w:val="1"/>
      <w:numFmt w:val="lowerLetter"/>
      <w:lvlText w:val="%8."/>
      <w:lvlJc w:val="left"/>
      <w:pPr>
        <w:ind w:left="5466" w:hanging="360"/>
      </w:pPr>
    </w:lvl>
    <w:lvl w:ilvl="8" w:tentative="0">
      <w:start w:val="1"/>
      <w:numFmt w:val="lowerRoman"/>
      <w:lvlText w:val="%9."/>
      <w:lvlJc w:val="right"/>
      <w:pPr>
        <w:ind w:left="6186" w:hanging="180"/>
      </w:pPr>
    </w:lvl>
  </w:abstractNum>
  <w:abstractNum w:abstractNumId="18">
    <w:nsid w:val="7C8839C1"/>
    <w:multiLevelType w:val="multilevel"/>
    <w:tmpl w:val="7C8839C1"/>
    <w:lvl w:ilvl="0" w:tentative="0">
      <w:start w:val="1"/>
      <w:numFmt w:val="decimal"/>
      <w:lvlText w:val="%1."/>
      <w:lvlJc w:val="left"/>
      <w:pPr>
        <w:ind w:left="900" w:hanging="360"/>
      </w:pPr>
      <w:rPr>
        <w:rFonts w:hint="default"/>
      </w:rPr>
    </w:lvl>
    <w:lvl w:ilvl="1" w:tentative="0">
      <w:start w:val="3"/>
      <w:numFmt w:val="decimal"/>
      <w:isLgl/>
      <w:lvlText w:val="%1.%2."/>
      <w:lvlJc w:val="left"/>
      <w:pPr>
        <w:ind w:left="1395" w:hanging="855"/>
      </w:pPr>
      <w:rPr>
        <w:rFonts w:hint="default"/>
      </w:rPr>
    </w:lvl>
    <w:lvl w:ilvl="2" w:tentative="0">
      <w:start w:val="1"/>
      <w:numFmt w:val="decimal"/>
      <w:isLgl/>
      <w:lvlText w:val="%1.%2.%3."/>
      <w:lvlJc w:val="left"/>
      <w:pPr>
        <w:ind w:left="1395" w:hanging="855"/>
      </w:pPr>
      <w:rPr>
        <w:rFonts w:hint="default"/>
      </w:rPr>
    </w:lvl>
    <w:lvl w:ilvl="3" w:tentative="0">
      <w:start w:val="1"/>
      <w:numFmt w:val="decimal"/>
      <w:isLgl/>
      <w:lvlText w:val="%1.%2.%3.%4."/>
      <w:lvlJc w:val="left"/>
      <w:pPr>
        <w:ind w:left="1620" w:hanging="1080"/>
      </w:pPr>
      <w:rPr>
        <w:rFonts w:hint="default"/>
      </w:rPr>
    </w:lvl>
    <w:lvl w:ilvl="4" w:tentative="0">
      <w:start w:val="1"/>
      <w:numFmt w:val="decimal"/>
      <w:isLgl/>
      <w:lvlText w:val="%1.%2.%3.%4.%5."/>
      <w:lvlJc w:val="left"/>
      <w:pPr>
        <w:ind w:left="1980" w:hanging="1440"/>
      </w:pPr>
      <w:rPr>
        <w:rFonts w:hint="default"/>
      </w:rPr>
    </w:lvl>
    <w:lvl w:ilvl="5" w:tentative="0">
      <w:start w:val="1"/>
      <w:numFmt w:val="decimal"/>
      <w:isLgl/>
      <w:lvlText w:val="%1.%2.%3.%4.%5.%6."/>
      <w:lvlJc w:val="left"/>
      <w:pPr>
        <w:ind w:left="1980" w:hanging="1440"/>
      </w:pPr>
      <w:rPr>
        <w:rFonts w:hint="default"/>
      </w:rPr>
    </w:lvl>
    <w:lvl w:ilvl="6" w:tentative="0">
      <w:start w:val="1"/>
      <w:numFmt w:val="decimal"/>
      <w:isLgl/>
      <w:lvlText w:val="%1.%2.%3.%4.%5.%6.%7."/>
      <w:lvlJc w:val="left"/>
      <w:pPr>
        <w:ind w:left="2340" w:hanging="1800"/>
      </w:pPr>
      <w:rPr>
        <w:rFonts w:hint="default"/>
      </w:rPr>
    </w:lvl>
    <w:lvl w:ilvl="7" w:tentative="0">
      <w:start w:val="1"/>
      <w:numFmt w:val="decimal"/>
      <w:isLgl/>
      <w:lvlText w:val="%1.%2.%3.%4.%5.%6.%7.%8."/>
      <w:lvlJc w:val="left"/>
      <w:pPr>
        <w:ind w:left="2700" w:hanging="2160"/>
      </w:pPr>
      <w:rPr>
        <w:rFonts w:hint="default"/>
      </w:rPr>
    </w:lvl>
    <w:lvl w:ilvl="8" w:tentative="0">
      <w:start w:val="1"/>
      <w:numFmt w:val="decimal"/>
      <w:isLgl/>
      <w:lvlText w:val="%1.%2.%3.%4.%5.%6.%7.%8.%9."/>
      <w:lvlJc w:val="left"/>
      <w:pPr>
        <w:ind w:left="2700" w:hanging="2160"/>
      </w:pPr>
      <w:rPr>
        <w:rFonts w:hint="default"/>
      </w:rPr>
    </w:lvl>
  </w:abstractNum>
  <w:abstractNum w:abstractNumId="19">
    <w:nsid w:val="7F5F20C0"/>
    <w:multiLevelType w:val="multilevel"/>
    <w:tmpl w:val="7F5F20C0"/>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9"/>
  </w:num>
  <w:num w:numId="2">
    <w:abstractNumId w:val="11"/>
  </w:num>
  <w:num w:numId="3">
    <w:abstractNumId w:val="18"/>
  </w:num>
  <w:num w:numId="4">
    <w:abstractNumId w:val="7"/>
  </w:num>
  <w:num w:numId="5">
    <w:abstractNumId w:val="9"/>
  </w:num>
  <w:num w:numId="6">
    <w:abstractNumId w:val="4"/>
  </w:num>
  <w:num w:numId="7">
    <w:abstractNumId w:val="2"/>
  </w:num>
  <w:num w:numId="8">
    <w:abstractNumId w:val="13"/>
  </w:num>
  <w:num w:numId="9">
    <w:abstractNumId w:val="16"/>
  </w:num>
  <w:num w:numId="10">
    <w:abstractNumId w:val="12"/>
  </w:num>
  <w:num w:numId="11">
    <w:abstractNumId w:val="5"/>
  </w:num>
  <w:num w:numId="12">
    <w:abstractNumId w:val="1"/>
  </w:num>
  <w:num w:numId="13">
    <w:abstractNumId w:val="0"/>
  </w:num>
  <w:num w:numId="14">
    <w:abstractNumId w:val="15"/>
  </w:num>
  <w:num w:numId="15">
    <w:abstractNumId w:val="14"/>
  </w:num>
  <w:num w:numId="16">
    <w:abstractNumId w:val="17"/>
  </w:num>
  <w:num w:numId="17">
    <w:abstractNumId w:val="10"/>
  </w:num>
  <w:num w:numId="18">
    <w:abstractNumId w:val="8"/>
  </w:num>
  <w:num w:numId="19">
    <w:abstractNumId w:val="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FE6"/>
    <w:rsid w:val="00010D13"/>
    <w:rsid w:val="0002425A"/>
    <w:rsid w:val="0003093C"/>
    <w:rsid w:val="00031FBC"/>
    <w:rsid w:val="00040994"/>
    <w:rsid w:val="00046CB2"/>
    <w:rsid w:val="0006555A"/>
    <w:rsid w:val="0007290F"/>
    <w:rsid w:val="0008197A"/>
    <w:rsid w:val="00083B3B"/>
    <w:rsid w:val="000906D4"/>
    <w:rsid w:val="0009382A"/>
    <w:rsid w:val="000B7686"/>
    <w:rsid w:val="000C6DD0"/>
    <w:rsid w:val="000C728C"/>
    <w:rsid w:val="000D372A"/>
    <w:rsid w:val="000D56E9"/>
    <w:rsid w:val="000D5B02"/>
    <w:rsid w:val="000F6B97"/>
    <w:rsid w:val="00105471"/>
    <w:rsid w:val="00112F78"/>
    <w:rsid w:val="00116969"/>
    <w:rsid w:val="00131064"/>
    <w:rsid w:val="00155A75"/>
    <w:rsid w:val="001701AB"/>
    <w:rsid w:val="001810A2"/>
    <w:rsid w:val="001B3FF6"/>
    <w:rsid w:val="001C30B7"/>
    <w:rsid w:val="001D2A65"/>
    <w:rsid w:val="001D4CE9"/>
    <w:rsid w:val="001E0D3E"/>
    <w:rsid w:val="0021439F"/>
    <w:rsid w:val="00225B4C"/>
    <w:rsid w:val="002432FD"/>
    <w:rsid w:val="002573C3"/>
    <w:rsid w:val="002661A9"/>
    <w:rsid w:val="00282EEC"/>
    <w:rsid w:val="00283343"/>
    <w:rsid w:val="002C508D"/>
    <w:rsid w:val="002D1591"/>
    <w:rsid w:val="002F258B"/>
    <w:rsid w:val="002F5D95"/>
    <w:rsid w:val="002F7A2F"/>
    <w:rsid w:val="003041AD"/>
    <w:rsid w:val="00313F2E"/>
    <w:rsid w:val="003142D9"/>
    <w:rsid w:val="003212A1"/>
    <w:rsid w:val="00323FE6"/>
    <w:rsid w:val="0034120A"/>
    <w:rsid w:val="00343B4B"/>
    <w:rsid w:val="0037355C"/>
    <w:rsid w:val="00392CB3"/>
    <w:rsid w:val="00395A2E"/>
    <w:rsid w:val="003A73B1"/>
    <w:rsid w:val="003B3A12"/>
    <w:rsid w:val="003C3DF5"/>
    <w:rsid w:val="003C460E"/>
    <w:rsid w:val="003C7AB4"/>
    <w:rsid w:val="003D125D"/>
    <w:rsid w:val="003D7B82"/>
    <w:rsid w:val="003F2C60"/>
    <w:rsid w:val="003F6E1C"/>
    <w:rsid w:val="00433B29"/>
    <w:rsid w:val="00435B0B"/>
    <w:rsid w:val="00437636"/>
    <w:rsid w:val="00444337"/>
    <w:rsid w:val="00455855"/>
    <w:rsid w:val="00462A95"/>
    <w:rsid w:val="004731CE"/>
    <w:rsid w:val="00476928"/>
    <w:rsid w:val="00481538"/>
    <w:rsid w:val="00485B18"/>
    <w:rsid w:val="00490260"/>
    <w:rsid w:val="004C0F84"/>
    <w:rsid w:val="004C2250"/>
    <w:rsid w:val="004F445B"/>
    <w:rsid w:val="00507992"/>
    <w:rsid w:val="005120EA"/>
    <w:rsid w:val="0053358C"/>
    <w:rsid w:val="0054289D"/>
    <w:rsid w:val="005706D8"/>
    <w:rsid w:val="005940E3"/>
    <w:rsid w:val="005B61B6"/>
    <w:rsid w:val="005C709B"/>
    <w:rsid w:val="005C756E"/>
    <w:rsid w:val="005D0169"/>
    <w:rsid w:val="005D3867"/>
    <w:rsid w:val="006035F4"/>
    <w:rsid w:val="00611C38"/>
    <w:rsid w:val="00614730"/>
    <w:rsid w:val="00622430"/>
    <w:rsid w:val="00623A93"/>
    <w:rsid w:val="006311B5"/>
    <w:rsid w:val="006422D1"/>
    <w:rsid w:val="006516D4"/>
    <w:rsid w:val="006541E2"/>
    <w:rsid w:val="00665414"/>
    <w:rsid w:val="00671B9C"/>
    <w:rsid w:val="006750F1"/>
    <w:rsid w:val="006757DC"/>
    <w:rsid w:val="00693395"/>
    <w:rsid w:val="006A0395"/>
    <w:rsid w:val="006A4CE1"/>
    <w:rsid w:val="006B7EAA"/>
    <w:rsid w:val="006C29DC"/>
    <w:rsid w:val="006E23F0"/>
    <w:rsid w:val="00703B06"/>
    <w:rsid w:val="00704420"/>
    <w:rsid w:val="00720F02"/>
    <w:rsid w:val="007254BD"/>
    <w:rsid w:val="00751A34"/>
    <w:rsid w:val="007547B7"/>
    <w:rsid w:val="007563E4"/>
    <w:rsid w:val="007632A7"/>
    <w:rsid w:val="007822A3"/>
    <w:rsid w:val="00783CFC"/>
    <w:rsid w:val="00786329"/>
    <w:rsid w:val="0079184B"/>
    <w:rsid w:val="007C633E"/>
    <w:rsid w:val="007C784C"/>
    <w:rsid w:val="007D52AC"/>
    <w:rsid w:val="007F5FED"/>
    <w:rsid w:val="007F6C49"/>
    <w:rsid w:val="00807E8E"/>
    <w:rsid w:val="00830F7E"/>
    <w:rsid w:val="00832F25"/>
    <w:rsid w:val="00833069"/>
    <w:rsid w:val="00845BE6"/>
    <w:rsid w:val="00853CA8"/>
    <w:rsid w:val="008609B3"/>
    <w:rsid w:val="008640A0"/>
    <w:rsid w:val="00877F65"/>
    <w:rsid w:val="00891FC2"/>
    <w:rsid w:val="008928A8"/>
    <w:rsid w:val="008A77E1"/>
    <w:rsid w:val="008B1139"/>
    <w:rsid w:val="008B23EB"/>
    <w:rsid w:val="008C456B"/>
    <w:rsid w:val="008E0D4B"/>
    <w:rsid w:val="008E1B2E"/>
    <w:rsid w:val="008E353B"/>
    <w:rsid w:val="008E5D39"/>
    <w:rsid w:val="008E72A0"/>
    <w:rsid w:val="008F32F0"/>
    <w:rsid w:val="00925DBF"/>
    <w:rsid w:val="00947555"/>
    <w:rsid w:val="00972953"/>
    <w:rsid w:val="00984520"/>
    <w:rsid w:val="009A1393"/>
    <w:rsid w:val="009A3486"/>
    <w:rsid w:val="009A6593"/>
    <w:rsid w:val="009B35A0"/>
    <w:rsid w:val="009C4AB4"/>
    <w:rsid w:val="009C4B4C"/>
    <w:rsid w:val="009D08BA"/>
    <w:rsid w:val="009E1948"/>
    <w:rsid w:val="009E47D0"/>
    <w:rsid w:val="00A0276F"/>
    <w:rsid w:val="00A05FF3"/>
    <w:rsid w:val="00A06365"/>
    <w:rsid w:val="00A33C47"/>
    <w:rsid w:val="00A449E5"/>
    <w:rsid w:val="00A53686"/>
    <w:rsid w:val="00A5375F"/>
    <w:rsid w:val="00A60CCF"/>
    <w:rsid w:val="00A616B2"/>
    <w:rsid w:val="00A86C03"/>
    <w:rsid w:val="00AA1661"/>
    <w:rsid w:val="00AB1A1E"/>
    <w:rsid w:val="00AB1AFA"/>
    <w:rsid w:val="00AC1BBE"/>
    <w:rsid w:val="00AD3850"/>
    <w:rsid w:val="00AE2545"/>
    <w:rsid w:val="00AF7325"/>
    <w:rsid w:val="00B21F03"/>
    <w:rsid w:val="00B26BD7"/>
    <w:rsid w:val="00B32F1E"/>
    <w:rsid w:val="00B53B59"/>
    <w:rsid w:val="00B570D5"/>
    <w:rsid w:val="00B63152"/>
    <w:rsid w:val="00B64F8A"/>
    <w:rsid w:val="00B70867"/>
    <w:rsid w:val="00B74C88"/>
    <w:rsid w:val="00BA1B0B"/>
    <w:rsid w:val="00BB5471"/>
    <w:rsid w:val="00BB66F3"/>
    <w:rsid w:val="00BE401E"/>
    <w:rsid w:val="00BF523E"/>
    <w:rsid w:val="00BF60A2"/>
    <w:rsid w:val="00C318BB"/>
    <w:rsid w:val="00C351FE"/>
    <w:rsid w:val="00C37FA5"/>
    <w:rsid w:val="00C43656"/>
    <w:rsid w:val="00C477E7"/>
    <w:rsid w:val="00C60A02"/>
    <w:rsid w:val="00C80D37"/>
    <w:rsid w:val="00C849BA"/>
    <w:rsid w:val="00C84A14"/>
    <w:rsid w:val="00C84C51"/>
    <w:rsid w:val="00C85552"/>
    <w:rsid w:val="00C8773C"/>
    <w:rsid w:val="00C91641"/>
    <w:rsid w:val="00CA788D"/>
    <w:rsid w:val="00CB3E50"/>
    <w:rsid w:val="00CF6321"/>
    <w:rsid w:val="00D101B3"/>
    <w:rsid w:val="00D11919"/>
    <w:rsid w:val="00D176F0"/>
    <w:rsid w:val="00D45BFC"/>
    <w:rsid w:val="00D45D3B"/>
    <w:rsid w:val="00D56802"/>
    <w:rsid w:val="00D6083E"/>
    <w:rsid w:val="00D767EC"/>
    <w:rsid w:val="00D81FB2"/>
    <w:rsid w:val="00D8458D"/>
    <w:rsid w:val="00D86911"/>
    <w:rsid w:val="00D957E2"/>
    <w:rsid w:val="00D966D5"/>
    <w:rsid w:val="00DA74CC"/>
    <w:rsid w:val="00DA7573"/>
    <w:rsid w:val="00DC6149"/>
    <w:rsid w:val="00E04AC3"/>
    <w:rsid w:val="00E058E6"/>
    <w:rsid w:val="00E10EA2"/>
    <w:rsid w:val="00E40D1E"/>
    <w:rsid w:val="00E51064"/>
    <w:rsid w:val="00E51F47"/>
    <w:rsid w:val="00E64AB8"/>
    <w:rsid w:val="00E76362"/>
    <w:rsid w:val="00EA1EDE"/>
    <w:rsid w:val="00EB5D5E"/>
    <w:rsid w:val="00EE75E3"/>
    <w:rsid w:val="00F10232"/>
    <w:rsid w:val="00F207D9"/>
    <w:rsid w:val="00F308AD"/>
    <w:rsid w:val="00F30A8E"/>
    <w:rsid w:val="00F41A8C"/>
    <w:rsid w:val="00F626FE"/>
    <w:rsid w:val="00F7056D"/>
    <w:rsid w:val="00FA1A6E"/>
    <w:rsid w:val="00FA43E7"/>
    <w:rsid w:val="00FB55A1"/>
    <w:rsid w:val="00FF31AF"/>
    <w:rsid w:val="6B9F2148"/>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id-ID" w:eastAsia="en-US"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8"/>
    <w:semiHidden/>
    <w:unhideWhenUsed/>
    <w:uiPriority w:val="99"/>
    <w:pPr>
      <w:spacing w:after="0" w:line="240" w:lineRule="auto"/>
    </w:pPr>
    <w:rPr>
      <w:rFonts w:ascii="Segoe UI" w:hAnsi="Segoe UI" w:cs="Segoe UI"/>
      <w:sz w:val="18"/>
      <w:szCs w:val="18"/>
    </w:rPr>
  </w:style>
  <w:style w:type="paragraph" w:styleId="3">
    <w:name w:val="footer"/>
    <w:basedOn w:val="1"/>
    <w:link w:val="12"/>
    <w:unhideWhenUsed/>
    <w:uiPriority w:val="99"/>
    <w:pPr>
      <w:tabs>
        <w:tab w:val="center" w:pos="4513"/>
        <w:tab w:val="right" w:pos="9026"/>
      </w:tabs>
      <w:spacing w:after="0" w:line="240" w:lineRule="auto"/>
    </w:pPr>
  </w:style>
  <w:style w:type="paragraph" w:styleId="4">
    <w:name w:val="header"/>
    <w:basedOn w:val="1"/>
    <w:link w:val="11"/>
    <w:unhideWhenUsed/>
    <w:uiPriority w:val="99"/>
    <w:pPr>
      <w:tabs>
        <w:tab w:val="center" w:pos="4513"/>
        <w:tab w:val="right" w:pos="9026"/>
      </w:tabs>
      <w:spacing w:after="0" w:line="240" w:lineRule="auto"/>
    </w:pPr>
  </w:style>
  <w:style w:type="paragraph" w:styleId="5">
    <w:name w:val="Plain Text"/>
    <w:basedOn w:val="1"/>
    <w:link w:val="17"/>
    <w:qFormat/>
    <w:uiPriority w:val="99"/>
    <w:pPr>
      <w:spacing w:after="0" w:line="240" w:lineRule="auto"/>
    </w:pPr>
    <w:rPr>
      <w:rFonts w:ascii="Courier New" w:hAnsi="Courier New" w:eastAsia="Times New Roman" w:cs="Times New Roman"/>
      <w:bCs/>
      <w:kern w:val="16"/>
      <w:sz w:val="20"/>
      <w:szCs w:val="20"/>
    </w:rPr>
  </w:style>
  <w:style w:type="table" w:styleId="8">
    <w:name w:val="Table Grid"/>
    <w:basedOn w:val="7"/>
    <w:uiPriority w:val="59"/>
    <w:pPr>
      <w:spacing w:after="0" w:line="240" w:lineRule="auto"/>
      <w:jc w:val="both"/>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Pr>
  </w:style>
  <w:style w:type="table" w:styleId="9">
    <w:name w:val="Medium Shading 1 Accent 5"/>
    <w:basedOn w:val="7"/>
    <w:uiPriority w:val="63"/>
    <w:pPr>
      <w:spacing w:after="0" w:line="240" w:lineRule="auto"/>
    </w:pPr>
    <w:rPr>
      <w:rFonts w:ascii="Calibri" w:hAnsi="Calibri" w:eastAsia="Calibri" w:cs="Times New Roman"/>
      <w:sz w:val="20"/>
      <w:szCs w:val="20"/>
      <w:lang w:val="en-US"/>
    </w:rPr>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Layout w:type="fixed"/>
    </w:tblPr>
    <w:tblStylePr w:type="firstRow">
      <w:pPr>
        <w:spacing w:before="0" w:after="0" w:line="240" w:lineRule="auto"/>
      </w:pPr>
      <w:rPr>
        <w:b/>
        <w:bCs/>
        <w:color w:val="FFFFFF" w:themeColor="background1"/>
        <w14:textFill>
          <w14:solidFill>
            <w14:schemeClr w14:val="bg1"/>
          </w14:solidFill>
        </w14:textFill>
      </w:rPr>
      <w:tblPr>
        <w:tblLayout w:type="fixed"/>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blLayout w:type="fixed"/>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blLayout w:type="fixed"/>
      </w:tblPr>
      <w:tcPr>
        <w:shd w:val="clear" w:color="auto" w:fill="D0DCF0" w:themeFill="accent5" w:themeFillTint="3F"/>
      </w:tcPr>
    </w:tblStylePr>
    <w:tblStylePr w:type="band1Horz">
      <w:tblPr>
        <w:tblLayout w:type="fixed"/>
      </w:tblPr>
      <w:tcPr>
        <w:tcBorders>
          <w:insideH w:val="nil"/>
          <w:insideV w:val="nil"/>
        </w:tcBorders>
        <w:shd w:val="clear" w:color="auto" w:fill="D0DCF0" w:themeFill="accent5" w:themeFillTint="3F"/>
      </w:tcPr>
    </w:tblStylePr>
    <w:tblStylePr w:type="band2Horz">
      <w:tblPr>
        <w:tblLayout w:type="fixed"/>
      </w:tblPr>
      <w:tcPr>
        <w:tcBorders>
          <w:insideH w:val="nil"/>
          <w:insideV w:val="nil"/>
        </w:tcBorders>
      </w:tcPr>
    </w:tblStylePr>
  </w:style>
  <w:style w:type="paragraph" w:customStyle="1" w:styleId="10">
    <w:name w:val="Default"/>
    <w:uiPriority w:val="0"/>
    <w:pPr>
      <w:autoSpaceDE w:val="0"/>
      <w:autoSpaceDN w:val="0"/>
      <w:adjustRightInd w:val="0"/>
      <w:spacing w:after="0" w:line="240" w:lineRule="auto"/>
    </w:pPr>
    <w:rPr>
      <w:rFonts w:ascii="Bookman Old Style" w:hAnsi="Bookman Old Style" w:cs="Bookman Old Style" w:eastAsiaTheme="minorEastAsia"/>
      <w:color w:val="000000"/>
      <w:sz w:val="24"/>
      <w:szCs w:val="24"/>
      <w:lang w:val="id-ID" w:eastAsia="ko-KR" w:bidi="ar-SA"/>
    </w:rPr>
  </w:style>
  <w:style w:type="character" w:customStyle="1" w:styleId="11">
    <w:name w:val="Header Char"/>
    <w:basedOn w:val="6"/>
    <w:link w:val="4"/>
    <w:uiPriority w:val="99"/>
  </w:style>
  <w:style w:type="character" w:customStyle="1" w:styleId="12">
    <w:name w:val="Footer Char"/>
    <w:basedOn w:val="6"/>
    <w:link w:val="3"/>
    <w:qFormat/>
    <w:uiPriority w:val="99"/>
  </w:style>
  <w:style w:type="paragraph" w:styleId="13">
    <w:name w:val="No Spacing"/>
    <w:link w:val="14"/>
    <w:qFormat/>
    <w:uiPriority w:val="1"/>
    <w:pPr>
      <w:spacing w:after="0" w:line="240" w:lineRule="auto"/>
    </w:pPr>
    <w:rPr>
      <w:rFonts w:ascii="Calibri" w:hAnsi="Calibri" w:eastAsia="Times New Roman" w:cs="Times New Roman"/>
      <w:sz w:val="22"/>
      <w:szCs w:val="22"/>
      <w:lang w:val="en-US" w:eastAsia="en-US" w:bidi="ar-SA"/>
    </w:rPr>
  </w:style>
  <w:style w:type="character" w:customStyle="1" w:styleId="14">
    <w:name w:val="No Spacing Char"/>
    <w:basedOn w:val="6"/>
    <w:link w:val="13"/>
    <w:uiPriority w:val="1"/>
    <w:rPr>
      <w:rFonts w:ascii="Calibri" w:hAnsi="Calibri" w:eastAsia="Times New Roman" w:cs="Times New Roman"/>
      <w:lang w:val="en-US"/>
    </w:rPr>
  </w:style>
  <w:style w:type="paragraph" w:styleId="15">
    <w:name w:val="List Paragraph"/>
    <w:basedOn w:val="1"/>
    <w:link w:val="16"/>
    <w:qFormat/>
    <w:uiPriority w:val="34"/>
    <w:pPr>
      <w:ind w:left="720"/>
      <w:contextualSpacing/>
    </w:pPr>
  </w:style>
  <w:style w:type="character" w:customStyle="1" w:styleId="16">
    <w:name w:val="List Paragraph Char"/>
    <w:link w:val="15"/>
    <w:locked/>
    <w:uiPriority w:val="34"/>
  </w:style>
  <w:style w:type="character" w:customStyle="1" w:styleId="17">
    <w:name w:val="Plain Text Char"/>
    <w:basedOn w:val="6"/>
    <w:link w:val="5"/>
    <w:uiPriority w:val="99"/>
    <w:rPr>
      <w:rFonts w:ascii="Courier New" w:hAnsi="Courier New" w:eastAsia="Times New Roman" w:cs="Times New Roman"/>
      <w:bCs/>
      <w:kern w:val="16"/>
      <w:sz w:val="20"/>
      <w:szCs w:val="20"/>
    </w:rPr>
  </w:style>
  <w:style w:type="character" w:customStyle="1" w:styleId="18">
    <w:name w:val="Balloon Text Char"/>
    <w:basedOn w:val="6"/>
    <w:link w:val="2"/>
    <w:semiHidden/>
    <w:uiPriority w:val="99"/>
    <w:rPr>
      <w:rFonts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7550FEE5D824BE5BA55542AE23DB0CE"/>
        <w:style w:val=""/>
        <w:category>
          <w:name w:val="General"/>
          <w:gallery w:val="placeholder"/>
        </w:category>
        <w:types>
          <w:type w:val="bbPlcHdr"/>
        </w:types>
        <w:behaviors>
          <w:behavior w:val="content"/>
        </w:behaviors>
        <w:description w:val=""/>
        <w:guid w:val="{89031082-9C27-496C-8895-2AE9F9CF0011}"/>
      </w:docPartPr>
      <w:docPartBody>
        <w:p>
          <w:pPr>
            <w:pStyle w:val="4"/>
          </w:pPr>
          <w:r>
            <w:rPr>
              <w:rFonts w:asciiTheme="majorHAnsi" w:hAnsiTheme="majorHAnsi" w:eastAsiaTheme="majorEastAsia" w:cstheme="majorBidi"/>
              <w:color w:val="2E75B6" w:themeColor="accent1" w:themeShade="BF"/>
              <w:sz w:val="32"/>
              <w:szCs w:val="32"/>
            </w:rPr>
            <w:t>[Document title]</w:t>
          </w:r>
        </w:p>
      </w:docPartBody>
    </w:docPart>
    <w:docPart>
      <w:docPartPr>
        <w:name w:val="D1520D1C246944ECA6070D2FFB7A2DBB"/>
        <w:style w:val=""/>
        <w:category>
          <w:name w:val="General"/>
          <w:gallery w:val="placeholder"/>
        </w:category>
        <w:types>
          <w:type w:val="bbPlcHdr"/>
        </w:types>
        <w:behaviors>
          <w:behavior w:val="content"/>
        </w:behaviors>
        <w:description w:val=""/>
        <w:guid w:val="{881240C2-C758-487F-B80B-5AFD4BB37D7D}"/>
      </w:docPartPr>
      <w:docPartBody>
        <w:p>
          <w:pPr>
            <w:pStyle w:val="8"/>
          </w:pPr>
          <w:r>
            <w:rPr>
              <w:rFonts w:asciiTheme="majorHAnsi" w:hAnsiTheme="majorHAnsi" w:eastAsiaTheme="majorEastAsia" w:cstheme="majorBidi"/>
              <w:color w:val="2E75B6"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A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FB5"/>
    <w:rsid w:val="00077BE9"/>
    <w:rsid w:val="000B4990"/>
    <w:rsid w:val="000C6FDB"/>
    <w:rsid w:val="000F3BF6"/>
    <w:rsid w:val="00290406"/>
    <w:rsid w:val="002956DD"/>
    <w:rsid w:val="003C6EC4"/>
    <w:rsid w:val="003E0EB5"/>
    <w:rsid w:val="003F40D3"/>
    <w:rsid w:val="004906D4"/>
    <w:rsid w:val="004F7A9C"/>
    <w:rsid w:val="00566E77"/>
    <w:rsid w:val="006C7889"/>
    <w:rsid w:val="007D4A9F"/>
    <w:rsid w:val="0093062E"/>
    <w:rsid w:val="00B2525A"/>
    <w:rsid w:val="00C44224"/>
    <w:rsid w:val="00D07B22"/>
    <w:rsid w:val="00DB48CC"/>
    <w:rsid w:val="00DC2319"/>
    <w:rsid w:val="00E10FB5"/>
    <w:rsid w:val="00E23CEA"/>
    <w:rsid w:val="00FF119B"/>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customStyle="1" w:styleId="4">
    <w:name w:val="A7550FEE5D824BE5BA55542AE23DB0CE"/>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5">
    <w:name w:val="7F7FDEA582714C678E8FFF25C1ACDF81"/>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6">
    <w:name w:val="CA8E38EA676C4D90B58A2328B45D7959"/>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7">
    <w:name w:val="87F3872C452240AEBA69C64B4108A412"/>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8">
    <w:name w:val="D1520D1C246944ECA6070D2FFB7A2DBB"/>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914A16-6D5C-4266-8980-450A0829E438}">
  <ds:schemaRefs/>
</ds:datastoreItem>
</file>

<file path=docProps/app.xml><?xml version="1.0" encoding="utf-8"?>
<Properties xmlns="http://schemas.openxmlformats.org/officeDocument/2006/extended-properties" xmlns:vt="http://schemas.openxmlformats.org/officeDocument/2006/docPropsVTypes">
  <Template>Normal</Template>
  <Pages>13</Pages>
  <Words>4604</Words>
  <Characters>26249</Characters>
  <Lines>218</Lines>
  <Paragraphs>61</Paragraphs>
  <TotalTime>11</TotalTime>
  <ScaleCrop>false</ScaleCrop>
  <LinksUpToDate>false</LinksUpToDate>
  <CharactersWithSpaces>30792</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2018-03-09T08:14:00Z</dcterms:created>
  <dc:creator>Windows User</dc:creator>
  <cp:lastModifiedBy>LENOVO</cp:lastModifiedBy>
  <cp:lastPrinted>2019-10-24T06:47:43Z</cp:lastPrinted>
  <dcterms:modified xsi:type="dcterms:W3CDTF">2019-10-24T07:09:47Z</dcterms:modified>
  <dc:title>Perubahan Renstra Biro AP2BMD Tahun 2016-2021</dc:title>
  <cp:revision>202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1057-11.2.0.8991</vt:lpwstr>
  </property>
</Properties>
</file>